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附件4</w:t>
      </w:r>
    </w:p>
    <w:p>
      <w:pPr>
        <w:widowControl/>
        <w:shd w:val="clear" w:color="auto" w:fill="FFFFFF"/>
        <w:jc w:val="center"/>
        <w:rPr>
          <w:rFonts w:ascii="宋体" w:hAnsi="宋体" w:eastAsia="宋体" w:cs="宋体"/>
          <w:color w:val="000000"/>
          <w:kern w:val="0"/>
          <w:sz w:val="24"/>
          <w:szCs w:val="24"/>
        </w:rPr>
      </w:pPr>
      <w:r>
        <w:rPr>
          <w:rFonts w:hint="eastAsia" w:ascii="宋体" w:hAnsi="宋体" w:eastAsia="宋体" w:cs="宋体"/>
          <w:b/>
          <w:bCs/>
          <w:color w:val="000000"/>
          <w:kern w:val="0"/>
          <w:sz w:val="44"/>
          <w:szCs w:val="44"/>
          <w:lang w:eastAsia="zh-CN"/>
        </w:rPr>
        <w:t>市</w:t>
      </w:r>
      <w:r>
        <w:rPr>
          <w:rFonts w:hint="eastAsia" w:ascii="宋体" w:hAnsi="宋体" w:eastAsia="宋体" w:cs="宋体"/>
          <w:b/>
          <w:bCs/>
          <w:color w:val="000000"/>
          <w:kern w:val="0"/>
          <w:sz w:val="44"/>
          <w:szCs w:val="44"/>
        </w:rPr>
        <w:t>地震局权责事项廉政风险点情况表（202</w:t>
      </w:r>
      <w:r>
        <w:rPr>
          <w:rFonts w:hint="eastAsia" w:ascii="宋体" w:hAnsi="宋体" w:eastAsia="宋体" w:cs="宋体"/>
          <w:b/>
          <w:bCs/>
          <w:color w:val="000000"/>
          <w:kern w:val="0"/>
          <w:sz w:val="44"/>
          <w:szCs w:val="44"/>
          <w:lang w:val="en-US" w:eastAsia="zh-CN"/>
        </w:rPr>
        <w:t>5</w:t>
      </w:r>
      <w:r>
        <w:rPr>
          <w:rFonts w:hint="eastAsia" w:ascii="宋体" w:hAnsi="宋体" w:eastAsia="宋体" w:cs="宋体"/>
          <w:b/>
          <w:bCs/>
          <w:color w:val="000000"/>
          <w:kern w:val="0"/>
          <w:sz w:val="44"/>
          <w:szCs w:val="44"/>
        </w:rPr>
        <w:t>年版）</w:t>
      </w:r>
    </w:p>
    <w:p>
      <w:pPr>
        <w:widowControl/>
        <w:shd w:val="clear" w:color="auto" w:fill="FFFFFF"/>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5"/>
        <w:gridCol w:w="1807"/>
        <w:gridCol w:w="1125"/>
        <w:gridCol w:w="3465"/>
        <w:gridCol w:w="810"/>
        <w:gridCol w:w="5215"/>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85"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黑体" w:hAnsi="黑体" w:eastAsia="黑体" w:cs="宋体"/>
                <w:kern w:val="0"/>
                <w:sz w:val="28"/>
                <w:szCs w:val="28"/>
              </w:rPr>
              <w:t>序号</w:t>
            </w:r>
          </w:p>
        </w:tc>
        <w:tc>
          <w:tcPr>
            <w:tcW w:w="1807"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黑体" w:hAnsi="黑体" w:eastAsia="黑体" w:cs="宋体"/>
                <w:kern w:val="0"/>
                <w:sz w:val="28"/>
                <w:szCs w:val="28"/>
              </w:rPr>
              <w:t>权力事项</w:t>
            </w:r>
          </w:p>
        </w:tc>
        <w:tc>
          <w:tcPr>
            <w:tcW w:w="1125"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黑体" w:hAnsi="黑体" w:eastAsia="黑体" w:cs="宋体"/>
                <w:kern w:val="0"/>
                <w:sz w:val="28"/>
                <w:szCs w:val="28"/>
              </w:rPr>
              <w:t>廉政风险点数量</w:t>
            </w:r>
          </w:p>
        </w:tc>
        <w:tc>
          <w:tcPr>
            <w:tcW w:w="3465"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黑体" w:hAnsi="黑体" w:eastAsia="黑体" w:cs="宋体"/>
                <w:kern w:val="0"/>
                <w:sz w:val="28"/>
                <w:szCs w:val="28"/>
              </w:rPr>
              <w:t>表现形式</w:t>
            </w:r>
          </w:p>
        </w:tc>
        <w:tc>
          <w:tcPr>
            <w:tcW w:w="810"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黑体" w:hAnsi="黑体" w:eastAsia="黑体" w:cs="宋体"/>
                <w:kern w:val="0"/>
                <w:sz w:val="28"/>
                <w:szCs w:val="28"/>
              </w:rPr>
              <w:t>等级</w:t>
            </w:r>
          </w:p>
        </w:tc>
        <w:tc>
          <w:tcPr>
            <w:tcW w:w="5215"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黑体" w:hAnsi="黑体" w:eastAsia="黑体" w:cs="宋体"/>
                <w:kern w:val="0"/>
                <w:sz w:val="28"/>
                <w:szCs w:val="28"/>
              </w:rPr>
              <w:t>防控措施</w:t>
            </w:r>
          </w:p>
        </w:tc>
        <w:tc>
          <w:tcPr>
            <w:tcW w:w="1167"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黑体" w:hAnsi="黑体" w:eastAsia="黑体" w:cs="宋体"/>
                <w:kern w:val="0"/>
                <w:sz w:val="28"/>
                <w:szCs w:val="28"/>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585" w:type="dxa"/>
            <w:vMerge w:val="restart"/>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807" w:type="dxa"/>
            <w:vMerge w:val="restart"/>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eastAsia="zh-CN"/>
              </w:rPr>
            </w:pPr>
            <w:bookmarkStart w:id="0" w:name="_GoBack"/>
            <w:bookmarkEnd w:id="0"/>
            <w:r>
              <w:rPr>
                <w:rFonts w:hint="eastAsia" w:ascii="宋体" w:hAnsi="宋体" w:eastAsia="宋体" w:cs="宋体"/>
                <w:kern w:val="0"/>
                <w:sz w:val="24"/>
                <w:szCs w:val="24"/>
              </w:rPr>
              <w:t>对地震安全性评价机构以其他地震安全性评价单位名义，或允许其他单位以本单位名义承揽地震安全性评价业务的处罚</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对未依法进行地震安全性评价，或者未按照地震安全性评价报告所确定的抗震设防要求进行抗震设防,逾期不改正等二类行为的处罚</w:t>
            </w:r>
          </w:p>
        </w:tc>
        <w:tc>
          <w:tcPr>
            <w:tcW w:w="1125" w:type="dxa"/>
            <w:vMerge w:val="restart"/>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465" w:type="dxa"/>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案件受理不及时，徇私舞弊，应立案不立案。</w:t>
            </w:r>
          </w:p>
        </w:tc>
        <w:tc>
          <w:tcPr>
            <w:tcW w:w="810"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低</w:t>
            </w:r>
          </w:p>
        </w:tc>
        <w:tc>
          <w:tcPr>
            <w:tcW w:w="5215" w:type="dxa"/>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建立查处案件台帐，定期进行检查；严格按照法规程序进行监督。</w:t>
            </w:r>
          </w:p>
        </w:tc>
        <w:tc>
          <w:tcPr>
            <w:tcW w:w="1167"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震害</w:t>
            </w:r>
            <w:r>
              <w:rPr>
                <w:rFonts w:hint="eastAsia" w:ascii="宋体" w:hAnsi="宋体" w:eastAsia="宋体" w:cs="宋体"/>
                <w:kern w:val="0"/>
                <w:sz w:val="24"/>
                <w:szCs w:val="24"/>
                <w:lang w:eastAsia="zh-CN"/>
              </w:rPr>
              <w:t>防御与科普科</w:t>
            </w:r>
            <w:r>
              <w:rPr>
                <w:rFonts w:hint="eastAsia" w:ascii="宋体" w:hAnsi="宋体" w:eastAsia="宋体" w:cs="宋体"/>
                <w:kern w:val="0"/>
                <w:sz w:val="24"/>
                <w:szCs w:val="24"/>
              </w:rPr>
              <w:t>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0" w:type="auto"/>
            <w:vMerge w:val="continue"/>
            <w:vAlign w:val="center"/>
          </w:tcPr>
          <w:p>
            <w:pPr>
              <w:widowControl/>
              <w:jc w:val="left"/>
              <w:rPr>
                <w:rFonts w:ascii="宋体" w:hAnsi="宋体" w:eastAsia="宋体" w:cs="宋体"/>
                <w:kern w:val="0"/>
                <w:sz w:val="24"/>
                <w:szCs w:val="24"/>
              </w:rPr>
            </w:pPr>
          </w:p>
        </w:tc>
        <w:tc>
          <w:tcPr>
            <w:tcW w:w="1807" w:type="dxa"/>
            <w:vMerge w:val="continue"/>
            <w:vAlign w:val="center"/>
          </w:tcPr>
          <w:p>
            <w:pPr>
              <w:widowControl/>
              <w:jc w:val="left"/>
              <w:rPr>
                <w:rFonts w:ascii="宋体" w:hAnsi="宋体" w:eastAsia="宋体" w:cs="宋体"/>
                <w:kern w:val="0"/>
                <w:sz w:val="24"/>
                <w:szCs w:val="24"/>
              </w:rPr>
            </w:pPr>
          </w:p>
        </w:tc>
        <w:tc>
          <w:tcPr>
            <w:tcW w:w="1125" w:type="dxa"/>
            <w:vMerge w:val="continue"/>
            <w:vAlign w:val="center"/>
          </w:tcPr>
          <w:p>
            <w:pPr>
              <w:widowControl/>
              <w:jc w:val="left"/>
              <w:rPr>
                <w:rFonts w:ascii="宋体" w:hAnsi="宋体" w:eastAsia="宋体" w:cs="宋体"/>
                <w:kern w:val="0"/>
                <w:sz w:val="24"/>
                <w:szCs w:val="24"/>
              </w:rPr>
            </w:pPr>
          </w:p>
        </w:tc>
        <w:tc>
          <w:tcPr>
            <w:tcW w:w="3465" w:type="dxa"/>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调查取证时接受请托，办理人情案。伪造、丢失、损毁、不按规定取证，导致案件调查无法正常进行。在案件办理中不履行法定告知义务</w:t>
            </w:r>
          </w:p>
        </w:tc>
        <w:tc>
          <w:tcPr>
            <w:tcW w:w="810"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低</w:t>
            </w:r>
          </w:p>
        </w:tc>
        <w:tc>
          <w:tcPr>
            <w:tcW w:w="5215" w:type="dxa"/>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规范处罚程序，现场调查必须两人以上；调查取证可采取现场录音、录像等技术手段；严格政务公开制度； 健全信访投诉举报受理制度； 实行一次性告知制。</w:t>
            </w:r>
          </w:p>
        </w:tc>
        <w:tc>
          <w:tcPr>
            <w:tcW w:w="1167" w:type="dxa"/>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震害</w:t>
            </w:r>
            <w:r>
              <w:rPr>
                <w:rFonts w:hint="eastAsia" w:ascii="宋体" w:hAnsi="宋体" w:eastAsia="宋体" w:cs="宋体"/>
                <w:kern w:val="0"/>
                <w:sz w:val="24"/>
                <w:szCs w:val="24"/>
                <w:lang w:eastAsia="zh-CN"/>
              </w:rPr>
              <w:t>防御与科普科科</w:t>
            </w:r>
            <w:r>
              <w:rPr>
                <w:rFonts w:hint="eastAsia" w:ascii="宋体" w:hAnsi="宋体" w:eastAsia="宋体" w:cs="宋体"/>
                <w:kern w:val="0"/>
                <w:sz w:val="24"/>
                <w:szCs w:val="24"/>
              </w:rPr>
              <w:t>长、工作人员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0" w:type="auto"/>
            <w:vMerge w:val="continue"/>
            <w:vAlign w:val="center"/>
          </w:tcPr>
          <w:p>
            <w:pPr>
              <w:widowControl/>
              <w:jc w:val="left"/>
              <w:rPr>
                <w:rFonts w:ascii="宋体" w:hAnsi="宋体" w:eastAsia="宋体" w:cs="宋体"/>
                <w:kern w:val="0"/>
                <w:sz w:val="24"/>
                <w:szCs w:val="24"/>
              </w:rPr>
            </w:pPr>
          </w:p>
        </w:tc>
        <w:tc>
          <w:tcPr>
            <w:tcW w:w="1807" w:type="dxa"/>
            <w:vMerge w:val="continue"/>
            <w:vAlign w:val="center"/>
          </w:tcPr>
          <w:p>
            <w:pPr>
              <w:widowControl/>
              <w:jc w:val="left"/>
              <w:rPr>
                <w:rFonts w:ascii="宋体" w:hAnsi="宋体" w:eastAsia="宋体" w:cs="宋体"/>
                <w:kern w:val="0"/>
                <w:sz w:val="24"/>
                <w:szCs w:val="24"/>
              </w:rPr>
            </w:pPr>
          </w:p>
        </w:tc>
        <w:tc>
          <w:tcPr>
            <w:tcW w:w="1125" w:type="dxa"/>
            <w:vMerge w:val="continue"/>
            <w:vAlign w:val="center"/>
          </w:tcPr>
          <w:p>
            <w:pPr>
              <w:widowControl/>
              <w:jc w:val="left"/>
              <w:rPr>
                <w:rFonts w:ascii="宋体" w:hAnsi="宋体" w:eastAsia="宋体" w:cs="宋体"/>
                <w:kern w:val="0"/>
                <w:sz w:val="24"/>
                <w:szCs w:val="24"/>
              </w:rPr>
            </w:pPr>
          </w:p>
        </w:tc>
        <w:tc>
          <w:tcPr>
            <w:tcW w:w="3465" w:type="dxa"/>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久拖不批或越权审批，无故拖延案件办理；利用职务便利接受贿赂为当事人谋利益；随意行使自由裁量权；法律法规运用错误；</w:t>
            </w:r>
            <w:r>
              <w:rPr>
                <w:rFonts w:ascii="宋体" w:hAnsi="宋体" w:eastAsia="宋体" w:cs="宋体"/>
                <w:kern w:val="0"/>
                <w:sz w:val="24"/>
                <w:szCs w:val="24"/>
              </w:rPr>
              <w:t>决定环节违背民主集中制原则</w:t>
            </w:r>
            <w:r>
              <w:rPr>
                <w:rFonts w:hint="eastAsia" w:ascii="宋体" w:hAnsi="宋体" w:eastAsia="宋体" w:cs="宋体"/>
                <w:kern w:val="0"/>
                <w:sz w:val="24"/>
                <w:szCs w:val="24"/>
              </w:rPr>
              <w:t>。</w:t>
            </w:r>
          </w:p>
        </w:tc>
        <w:tc>
          <w:tcPr>
            <w:tcW w:w="810"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低</w:t>
            </w:r>
          </w:p>
        </w:tc>
        <w:tc>
          <w:tcPr>
            <w:tcW w:w="5215" w:type="dxa"/>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执行内部监督检查，纪检跟踪督查制度；严格层级审批制度；严格执行听证程序，重大案件必须集体讨论；严格履行服务承诺、政务公开、健全信访投诉举报受理制度。</w:t>
            </w:r>
          </w:p>
        </w:tc>
        <w:tc>
          <w:tcPr>
            <w:tcW w:w="1167"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局领导、震害</w:t>
            </w:r>
            <w:r>
              <w:rPr>
                <w:rFonts w:hint="eastAsia" w:ascii="宋体" w:hAnsi="宋体" w:eastAsia="宋体" w:cs="宋体"/>
                <w:kern w:val="0"/>
                <w:sz w:val="24"/>
                <w:szCs w:val="24"/>
                <w:lang w:eastAsia="zh-CN"/>
              </w:rPr>
              <w:t>防御与科普科科</w:t>
            </w:r>
            <w:r>
              <w:rPr>
                <w:rFonts w:hint="eastAsia" w:ascii="宋体" w:hAnsi="宋体" w:eastAsia="宋体" w:cs="宋体"/>
                <w:kern w:val="0"/>
                <w:sz w:val="24"/>
                <w:szCs w:val="24"/>
              </w:rPr>
              <w:t>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0" w:type="auto"/>
            <w:vMerge w:val="continue"/>
            <w:vAlign w:val="center"/>
          </w:tcPr>
          <w:p>
            <w:pPr>
              <w:widowControl/>
              <w:jc w:val="left"/>
              <w:rPr>
                <w:rFonts w:ascii="宋体" w:hAnsi="宋体" w:eastAsia="宋体" w:cs="宋体"/>
                <w:kern w:val="0"/>
                <w:sz w:val="24"/>
                <w:szCs w:val="24"/>
              </w:rPr>
            </w:pPr>
          </w:p>
        </w:tc>
        <w:tc>
          <w:tcPr>
            <w:tcW w:w="1807" w:type="dxa"/>
            <w:vMerge w:val="continue"/>
            <w:vAlign w:val="center"/>
          </w:tcPr>
          <w:p>
            <w:pPr>
              <w:widowControl/>
              <w:jc w:val="left"/>
              <w:rPr>
                <w:rFonts w:ascii="宋体" w:hAnsi="宋体" w:eastAsia="宋体" w:cs="宋体"/>
                <w:kern w:val="0"/>
                <w:sz w:val="24"/>
                <w:szCs w:val="24"/>
              </w:rPr>
            </w:pPr>
          </w:p>
        </w:tc>
        <w:tc>
          <w:tcPr>
            <w:tcW w:w="1125" w:type="dxa"/>
            <w:vMerge w:val="continue"/>
            <w:vAlign w:val="center"/>
          </w:tcPr>
          <w:p>
            <w:pPr>
              <w:widowControl/>
              <w:jc w:val="left"/>
              <w:rPr>
                <w:rFonts w:ascii="宋体" w:hAnsi="宋体" w:eastAsia="宋体" w:cs="宋体"/>
                <w:kern w:val="0"/>
                <w:sz w:val="24"/>
                <w:szCs w:val="24"/>
              </w:rPr>
            </w:pPr>
          </w:p>
        </w:tc>
        <w:tc>
          <w:tcPr>
            <w:tcW w:w="3465" w:type="dxa"/>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不履行送达程序；对已作出处罚决定的案件不执行、不及时执行或变通。</w:t>
            </w:r>
          </w:p>
        </w:tc>
        <w:tc>
          <w:tcPr>
            <w:tcW w:w="810"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低</w:t>
            </w:r>
          </w:p>
        </w:tc>
        <w:tc>
          <w:tcPr>
            <w:tcW w:w="5215" w:type="dxa"/>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加强政务公开，对被处罚当事人进行回访；对案卷处理进行抽查，加强对执行情况的监督；健全信访投诉举报受理制度。  </w:t>
            </w:r>
          </w:p>
        </w:tc>
        <w:tc>
          <w:tcPr>
            <w:tcW w:w="1167" w:type="dxa"/>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震害</w:t>
            </w:r>
            <w:r>
              <w:rPr>
                <w:rFonts w:hint="eastAsia" w:ascii="宋体" w:hAnsi="宋体" w:eastAsia="宋体" w:cs="宋体"/>
                <w:kern w:val="0"/>
                <w:sz w:val="24"/>
                <w:szCs w:val="24"/>
                <w:lang w:eastAsia="zh-CN"/>
              </w:rPr>
              <w:t>防御与科普科</w:t>
            </w:r>
            <w:r>
              <w:rPr>
                <w:rFonts w:hint="eastAsia" w:ascii="宋体" w:hAnsi="宋体" w:eastAsia="宋体" w:cs="宋体"/>
                <w:kern w:val="0"/>
                <w:sz w:val="24"/>
                <w:szCs w:val="24"/>
              </w:rPr>
              <w:t>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0" w:type="auto"/>
            <w:vMerge w:val="continue"/>
            <w:vAlign w:val="center"/>
          </w:tcPr>
          <w:p>
            <w:pPr>
              <w:widowControl/>
              <w:jc w:val="left"/>
              <w:rPr>
                <w:rFonts w:ascii="宋体" w:hAnsi="宋体" w:eastAsia="宋体" w:cs="宋体"/>
                <w:kern w:val="0"/>
                <w:sz w:val="24"/>
                <w:szCs w:val="24"/>
              </w:rPr>
            </w:pPr>
          </w:p>
        </w:tc>
        <w:tc>
          <w:tcPr>
            <w:tcW w:w="1807" w:type="dxa"/>
            <w:vMerge w:val="continue"/>
            <w:vAlign w:val="center"/>
          </w:tcPr>
          <w:p>
            <w:pPr>
              <w:widowControl/>
              <w:jc w:val="left"/>
              <w:rPr>
                <w:rFonts w:ascii="宋体" w:hAnsi="宋体" w:eastAsia="宋体" w:cs="宋体"/>
                <w:kern w:val="0"/>
                <w:sz w:val="24"/>
                <w:szCs w:val="24"/>
              </w:rPr>
            </w:pPr>
          </w:p>
        </w:tc>
        <w:tc>
          <w:tcPr>
            <w:tcW w:w="1125" w:type="dxa"/>
            <w:vMerge w:val="continue"/>
            <w:vAlign w:val="center"/>
          </w:tcPr>
          <w:p>
            <w:pPr>
              <w:widowControl/>
              <w:jc w:val="left"/>
              <w:rPr>
                <w:rFonts w:ascii="宋体" w:hAnsi="宋体" w:eastAsia="宋体" w:cs="宋体"/>
                <w:kern w:val="0"/>
                <w:sz w:val="24"/>
                <w:szCs w:val="24"/>
              </w:rPr>
            </w:pPr>
          </w:p>
        </w:tc>
        <w:tc>
          <w:tcPr>
            <w:tcW w:w="3465" w:type="dxa"/>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结案材料归档不及时，手续不完整。</w:t>
            </w:r>
          </w:p>
        </w:tc>
        <w:tc>
          <w:tcPr>
            <w:tcW w:w="810"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低</w:t>
            </w:r>
          </w:p>
        </w:tc>
        <w:tc>
          <w:tcPr>
            <w:tcW w:w="5215" w:type="dxa"/>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建立案件台帐，定期进行检查。</w:t>
            </w:r>
          </w:p>
        </w:tc>
        <w:tc>
          <w:tcPr>
            <w:tcW w:w="1167"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震害</w:t>
            </w:r>
            <w:r>
              <w:rPr>
                <w:rFonts w:hint="eastAsia" w:ascii="宋体" w:hAnsi="宋体" w:eastAsia="宋体" w:cs="宋体"/>
                <w:kern w:val="0"/>
                <w:sz w:val="24"/>
                <w:szCs w:val="24"/>
                <w:lang w:eastAsia="zh-CN"/>
              </w:rPr>
              <w:t>防御与科普科</w:t>
            </w:r>
            <w:r>
              <w:rPr>
                <w:rFonts w:hint="eastAsia" w:ascii="宋体" w:hAnsi="宋体" w:eastAsia="宋体" w:cs="宋体"/>
                <w:kern w:val="0"/>
                <w:sz w:val="24"/>
                <w:szCs w:val="24"/>
              </w:rPr>
              <w:t>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585" w:type="dxa"/>
            <w:vMerge w:val="restart"/>
            <w:vAlign w:val="center"/>
          </w:tcPr>
          <w:p>
            <w:pPr>
              <w:widowControl/>
              <w:ind w:firstLine="218" w:firstLineChars="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807" w:type="dxa"/>
            <w:vMerge w:val="restart"/>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对侵占、毁损、拆除或者擅自移动地震监测设施等三类行为的处罚</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对未按照要求增建抗干扰设施或者新建地震监测设施的处罚</w:t>
            </w:r>
          </w:p>
        </w:tc>
        <w:tc>
          <w:tcPr>
            <w:tcW w:w="1125" w:type="dxa"/>
            <w:vMerge w:val="restart"/>
            <w:vAlign w:val="center"/>
          </w:tcPr>
          <w:p>
            <w:pPr>
              <w:widowControl/>
              <w:ind w:firstLine="264" w:firstLineChars="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3465" w:type="dxa"/>
            <w:tcMar>
              <w:top w:w="0" w:type="dxa"/>
              <w:left w:w="108" w:type="dxa"/>
              <w:bottom w:w="0" w:type="dxa"/>
              <w:right w:w="108" w:type="dxa"/>
            </w:tcMar>
            <w:vAlign w:val="center"/>
          </w:tcPr>
          <w:p>
            <w:pPr>
              <w:widowControl/>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案件受理不及时，徇私舞弊，应立案不立案。</w:t>
            </w:r>
          </w:p>
        </w:tc>
        <w:tc>
          <w:tcPr>
            <w:tcW w:w="810" w:type="dxa"/>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低</w:t>
            </w:r>
          </w:p>
        </w:tc>
        <w:tc>
          <w:tcPr>
            <w:tcW w:w="5215" w:type="dxa"/>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建立查处案件台帐，定期进行检查；严格按照法规程序进行监督。</w:t>
            </w:r>
          </w:p>
        </w:tc>
        <w:tc>
          <w:tcPr>
            <w:tcW w:w="1167" w:type="dxa"/>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监测预报和科普科</w:t>
            </w:r>
            <w:r>
              <w:rPr>
                <w:rFonts w:hint="eastAsia" w:ascii="宋体" w:hAnsi="宋体" w:eastAsia="宋体" w:cs="宋体"/>
                <w:kern w:val="0"/>
                <w:sz w:val="24"/>
                <w:szCs w:val="24"/>
              </w:rPr>
              <w:t>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585" w:type="dxa"/>
            <w:vMerge w:val="continue"/>
            <w:vAlign w:val="center"/>
          </w:tcPr>
          <w:p>
            <w:pPr>
              <w:widowControl/>
              <w:ind w:firstLine="218" w:firstLineChars="0"/>
              <w:jc w:val="left"/>
              <w:rPr>
                <w:rFonts w:hint="eastAsia" w:ascii="宋体" w:hAnsi="宋体" w:eastAsia="宋体" w:cs="宋体"/>
                <w:kern w:val="0"/>
                <w:sz w:val="24"/>
                <w:szCs w:val="24"/>
                <w:lang w:val="en-US" w:eastAsia="zh-CN"/>
              </w:rPr>
            </w:pPr>
          </w:p>
        </w:tc>
        <w:tc>
          <w:tcPr>
            <w:tcW w:w="1807" w:type="dxa"/>
            <w:vMerge w:val="continue"/>
            <w:vAlign w:val="center"/>
          </w:tcPr>
          <w:p>
            <w:pPr>
              <w:widowControl/>
              <w:jc w:val="center"/>
              <w:rPr>
                <w:rFonts w:hint="eastAsia" w:ascii="宋体" w:hAnsi="宋体" w:eastAsia="宋体" w:cs="宋体"/>
                <w:kern w:val="0"/>
                <w:sz w:val="24"/>
                <w:szCs w:val="24"/>
              </w:rPr>
            </w:pPr>
          </w:p>
        </w:tc>
        <w:tc>
          <w:tcPr>
            <w:tcW w:w="1125" w:type="dxa"/>
            <w:vMerge w:val="continue"/>
            <w:vAlign w:val="center"/>
          </w:tcPr>
          <w:p>
            <w:pPr>
              <w:widowControl/>
              <w:jc w:val="left"/>
              <w:rPr>
                <w:rFonts w:ascii="宋体" w:hAnsi="宋体" w:eastAsia="宋体" w:cs="宋体"/>
                <w:kern w:val="0"/>
                <w:sz w:val="24"/>
                <w:szCs w:val="24"/>
              </w:rPr>
            </w:pPr>
          </w:p>
        </w:tc>
        <w:tc>
          <w:tcPr>
            <w:tcW w:w="3465" w:type="dxa"/>
            <w:tcMar>
              <w:top w:w="0" w:type="dxa"/>
              <w:left w:w="108" w:type="dxa"/>
              <w:bottom w:w="0" w:type="dxa"/>
              <w:right w:w="108" w:type="dxa"/>
            </w:tcMar>
            <w:vAlign w:val="center"/>
          </w:tcPr>
          <w:p>
            <w:pPr>
              <w:widowControl/>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调查取证时接受请托，办理人情案。伪造、丢失、损毁、不按规定取证，导致案件调查无法正常进行。在案件办理中不履行法定告知义务</w:t>
            </w:r>
          </w:p>
        </w:tc>
        <w:tc>
          <w:tcPr>
            <w:tcW w:w="810" w:type="dxa"/>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低</w:t>
            </w:r>
          </w:p>
        </w:tc>
        <w:tc>
          <w:tcPr>
            <w:tcW w:w="5215" w:type="dxa"/>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规范处罚程序，现场调查必须两人以上；调查取证可采取现场录音、录像等技术手段；严格政务公开制度； 健全信访投诉举报受理制度； 实行一次性告知制。</w:t>
            </w:r>
          </w:p>
        </w:tc>
        <w:tc>
          <w:tcPr>
            <w:tcW w:w="1167" w:type="dxa"/>
            <w:tcMar>
              <w:top w:w="0" w:type="dxa"/>
              <w:left w:w="108" w:type="dxa"/>
              <w:bottom w:w="0" w:type="dxa"/>
              <w:right w:w="108" w:type="dxa"/>
            </w:tcMar>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监测预报和科普科科</w:t>
            </w:r>
            <w:r>
              <w:rPr>
                <w:rFonts w:hint="eastAsia" w:ascii="宋体" w:hAnsi="宋体" w:eastAsia="宋体" w:cs="宋体"/>
                <w:kern w:val="0"/>
                <w:sz w:val="24"/>
                <w:szCs w:val="24"/>
              </w:rPr>
              <w:t>长、工作人员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585" w:type="dxa"/>
            <w:vMerge w:val="continue"/>
            <w:vAlign w:val="center"/>
          </w:tcPr>
          <w:p>
            <w:pPr>
              <w:widowControl/>
              <w:ind w:firstLine="218" w:firstLineChars="0"/>
              <w:jc w:val="left"/>
              <w:rPr>
                <w:rFonts w:hint="eastAsia" w:ascii="宋体" w:hAnsi="宋体" w:eastAsia="宋体" w:cs="宋体"/>
                <w:kern w:val="0"/>
                <w:sz w:val="24"/>
                <w:szCs w:val="24"/>
                <w:lang w:val="en-US" w:eastAsia="zh-CN"/>
              </w:rPr>
            </w:pPr>
          </w:p>
        </w:tc>
        <w:tc>
          <w:tcPr>
            <w:tcW w:w="1807" w:type="dxa"/>
            <w:vMerge w:val="continue"/>
            <w:vAlign w:val="center"/>
          </w:tcPr>
          <w:p>
            <w:pPr>
              <w:widowControl/>
              <w:jc w:val="center"/>
              <w:rPr>
                <w:rFonts w:hint="eastAsia" w:ascii="宋体" w:hAnsi="宋体" w:eastAsia="宋体" w:cs="宋体"/>
                <w:kern w:val="0"/>
                <w:sz w:val="24"/>
                <w:szCs w:val="24"/>
              </w:rPr>
            </w:pPr>
          </w:p>
        </w:tc>
        <w:tc>
          <w:tcPr>
            <w:tcW w:w="1125" w:type="dxa"/>
            <w:vMerge w:val="continue"/>
            <w:vAlign w:val="center"/>
          </w:tcPr>
          <w:p>
            <w:pPr>
              <w:widowControl/>
              <w:jc w:val="left"/>
              <w:rPr>
                <w:rFonts w:ascii="宋体" w:hAnsi="宋体" w:eastAsia="宋体" w:cs="宋体"/>
                <w:kern w:val="0"/>
                <w:sz w:val="24"/>
                <w:szCs w:val="24"/>
              </w:rPr>
            </w:pPr>
          </w:p>
        </w:tc>
        <w:tc>
          <w:tcPr>
            <w:tcW w:w="3465" w:type="dxa"/>
            <w:tcMar>
              <w:top w:w="0" w:type="dxa"/>
              <w:left w:w="108" w:type="dxa"/>
              <w:bottom w:w="0" w:type="dxa"/>
              <w:right w:w="108" w:type="dxa"/>
            </w:tcMar>
            <w:vAlign w:val="center"/>
          </w:tcPr>
          <w:p>
            <w:pPr>
              <w:widowControl/>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久拖不批或越权审批，无故拖延案件办理；利用职务便利接受贿赂为当事人谋利益；随意行使自由裁量权；法律法规运用错误；</w:t>
            </w:r>
            <w:r>
              <w:rPr>
                <w:rFonts w:ascii="宋体" w:hAnsi="宋体" w:eastAsia="宋体" w:cs="宋体"/>
                <w:kern w:val="0"/>
                <w:sz w:val="24"/>
                <w:szCs w:val="24"/>
              </w:rPr>
              <w:t>决定环节违背民主集中制原则</w:t>
            </w:r>
            <w:r>
              <w:rPr>
                <w:rFonts w:hint="eastAsia" w:ascii="宋体" w:hAnsi="宋体" w:eastAsia="宋体" w:cs="宋体"/>
                <w:kern w:val="0"/>
                <w:sz w:val="24"/>
                <w:szCs w:val="24"/>
              </w:rPr>
              <w:t>。</w:t>
            </w:r>
          </w:p>
        </w:tc>
        <w:tc>
          <w:tcPr>
            <w:tcW w:w="810" w:type="dxa"/>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低</w:t>
            </w:r>
          </w:p>
        </w:tc>
        <w:tc>
          <w:tcPr>
            <w:tcW w:w="5215" w:type="dxa"/>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执行内部监督检查，纪检跟踪督查制度；严格层级审批制度；严格执行听证程序，重大案件必须集体讨论；严格履行服务承诺、政务公开、健全信访投诉举报受理制度。</w:t>
            </w:r>
          </w:p>
        </w:tc>
        <w:tc>
          <w:tcPr>
            <w:tcW w:w="1167" w:type="dxa"/>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局领导、</w:t>
            </w:r>
            <w:r>
              <w:rPr>
                <w:rFonts w:hint="eastAsia" w:ascii="宋体" w:hAnsi="宋体" w:eastAsia="宋体" w:cs="宋体"/>
                <w:kern w:val="0"/>
                <w:sz w:val="24"/>
                <w:szCs w:val="24"/>
                <w:lang w:eastAsia="zh-CN"/>
              </w:rPr>
              <w:t>监测预报和科普科科</w:t>
            </w:r>
            <w:r>
              <w:rPr>
                <w:rFonts w:hint="eastAsia" w:ascii="宋体" w:hAnsi="宋体" w:eastAsia="宋体" w:cs="宋体"/>
                <w:kern w:val="0"/>
                <w:sz w:val="24"/>
                <w:szCs w:val="24"/>
              </w:rPr>
              <w:t>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585" w:type="dxa"/>
            <w:vMerge w:val="continue"/>
            <w:vAlign w:val="center"/>
          </w:tcPr>
          <w:p>
            <w:pPr>
              <w:widowControl/>
              <w:ind w:firstLine="218" w:firstLineChars="0"/>
              <w:jc w:val="left"/>
              <w:rPr>
                <w:rFonts w:hint="eastAsia" w:ascii="宋体" w:hAnsi="宋体" w:eastAsia="宋体" w:cs="宋体"/>
                <w:kern w:val="0"/>
                <w:sz w:val="24"/>
                <w:szCs w:val="24"/>
                <w:lang w:val="en-US" w:eastAsia="zh-CN"/>
              </w:rPr>
            </w:pPr>
          </w:p>
        </w:tc>
        <w:tc>
          <w:tcPr>
            <w:tcW w:w="1807" w:type="dxa"/>
            <w:vMerge w:val="continue"/>
            <w:vAlign w:val="center"/>
          </w:tcPr>
          <w:p>
            <w:pPr>
              <w:widowControl/>
              <w:jc w:val="center"/>
              <w:rPr>
                <w:rFonts w:hint="eastAsia" w:ascii="宋体" w:hAnsi="宋体" w:eastAsia="宋体" w:cs="宋体"/>
                <w:kern w:val="0"/>
                <w:sz w:val="24"/>
                <w:szCs w:val="24"/>
              </w:rPr>
            </w:pPr>
          </w:p>
        </w:tc>
        <w:tc>
          <w:tcPr>
            <w:tcW w:w="1125" w:type="dxa"/>
            <w:vMerge w:val="continue"/>
            <w:vAlign w:val="center"/>
          </w:tcPr>
          <w:p>
            <w:pPr>
              <w:widowControl/>
              <w:jc w:val="left"/>
              <w:rPr>
                <w:rFonts w:ascii="宋体" w:hAnsi="宋体" w:eastAsia="宋体" w:cs="宋体"/>
                <w:kern w:val="0"/>
                <w:sz w:val="24"/>
                <w:szCs w:val="24"/>
              </w:rPr>
            </w:pPr>
          </w:p>
        </w:tc>
        <w:tc>
          <w:tcPr>
            <w:tcW w:w="3465" w:type="dxa"/>
            <w:tcMar>
              <w:top w:w="0" w:type="dxa"/>
              <w:left w:w="108" w:type="dxa"/>
              <w:bottom w:w="0" w:type="dxa"/>
              <w:right w:w="108" w:type="dxa"/>
            </w:tcMar>
            <w:vAlign w:val="center"/>
          </w:tcPr>
          <w:p>
            <w:pPr>
              <w:widowControl/>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不履行送达程序；对已作出处罚决定的案件不执行、不及时执行或变通。</w:t>
            </w:r>
          </w:p>
        </w:tc>
        <w:tc>
          <w:tcPr>
            <w:tcW w:w="810" w:type="dxa"/>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低</w:t>
            </w:r>
          </w:p>
        </w:tc>
        <w:tc>
          <w:tcPr>
            <w:tcW w:w="5215" w:type="dxa"/>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xml:space="preserve">加强政务公开，对被处罚当事人进行回访；对案卷处理进行抽查，加强对执行情况的监督；健全信访投诉举报受理制度。  </w:t>
            </w:r>
          </w:p>
        </w:tc>
        <w:tc>
          <w:tcPr>
            <w:tcW w:w="1167" w:type="dxa"/>
            <w:tcMar>
              <w:top w:w="0" w:type="dxa"/>
              <w:left w:w="108" w:type="dxa"/>
              <w:bottom w:w="0" w:type="dxa"/>
              <w:right w:w="108" w:type="dxa"/>
            </w:tcMar>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监测预报和应急科</w:t>
            </w:r>
            <w:r>
              <w:rPr>
                <w:rFonts w:hint="eastAsia" w:ascii="宋体" w:hAnsi="宋体" w:eastAsia="宋体" w:cs="宋体"/>
                <w:kern w:val="0"/>
                <w:sz w:val="24"/>
                <w:szCs w:val="24"/>
              </w:rPr>
              <w:t>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585" w:type="dxa"/>
            <w:vMerge w:val="continue"/>
            <w:vAlign w:val="center"/>
          </w:tcPr>
          <w:p>
            <w:pPr>
              <w:widowControl/>
              <w:ind w:firstLine="218" w:firstLineChars="0"/>
              <w:jc w:val="left"/>
              <w:rPr>
                <w:rFonts w:hint="eastAsia" w:ascii="宋体" w:hAnsi="宋体" w:eastAsia="宋体" w:cs="宋体"/>
                <w:kern w:val="0"/>
                <w:sz w:val="24"/>
                <w:szCs w:val="24"/>
                <w:lang w:val="en-US" w:eastAsia="zh-CN"/>
              </w:rPr>
            </w:pPr>
          </w:p>
        </w:tc>
        <w:tc>
          <w:tcPr>
            <w:tcW w:w="1807" w:type="dxa"/>
            <w:vMerge w:val="continue"/>
            <w:vAlign w:val="center"/>
          </w:tcPr>
          <w:p>
            <w:pPr>
              <w:widowControl/>
              <w:jc w:val="center"/>
              <w:rPr>
                <w:rFonts w:hint="eastAsia" w:ascii="宋体" w:hAnsi="宋体" w:eastAsia="宋体" w:cs="宋体"/>
                <w:kern w:val="0"/>
                <w:sz w:val="24"/>
                <w:szCs w:val="24"/>
              </w:rPr>
            </w:pPr>
          </w:p>
        </w:tc>
        <w:tc>
          <w:tcPr>
            <w:tcW w:w="1125" w:type="dxa"/>
            <w:vMerge w:val="continue"/>
            <w:vAlign w:val="center"/>
          </w:tcPr>
          <w:p>
            <w:pPr>
              <w:widowControl/>
              <w:jc w:val="left"/>
              <w:rPr>
                <w:rFonts w:ascii="宋体" w:hAnsi="宋体" w:eastAsia="宋体" w:cs="宋体"/>
                <w:kern w:val="0"/>
                <w:sz w:val="24"/>
                <w:szCs w:val="24"/>
              </w:rPr>
            </w:pPr>
          </w:p>
        </w:tc>
        <w:tc>
          <w:tcPr>
            <w:tcW w:w="3465" w:type="dxa"/>
            <w:tcMar>
              <w:top w:w="0" w:type="dxa"/>
              <w:left w:w="108" w:type="dxa"/>
              <w:bottom w:w="0" w:type="dxa"/>
              <w:right w:w="108" w:type="dxa"/>
            </w:tcMar>
            <w:vAlign w:val="center"/>
          </w:tcPr>
          <w:p>
            <w:pPr>
              <w:widowControl/>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结案材料归档不及时，手续不完整。</w:t>
            </w:r>
          </w:p>
        </w:tc>
        <w:tc>
          <w:tcPr>
            <w:tcW w:w="810" w:type="dxa"/>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低</w:t>
            </w:r>
          </w:p>
        </w:tc>
        <w:tc>
          <w:tcPr>
            <w:tcW w:w="5215" w:type="dxa"/>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建立案件台帐，定期进行检查。</w:t>
            </w:r>
          </w:p>
        </w:tc>
        <w:tc>
          <w:tcPr>
            <w:tcW w:w="1167" w:type="dxa"/>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震害</w:t>
            </w:r>
            <w:r>
              <w:rPr>
                <w:rFonts w:hint="eastAsia" w:ascii="宋体" w:hAnsi="宋体" w:eastAsia="宋体" w:cs="宋体"/>
                <w:kern w:val="0"/>
                <w:sz w:val="24"/>
                <w:szCs w:val="24"/>
                <w:lang w:eastAsia="zh-CN"/>
              </w:rPr>
              <w:t>防御与科普科</w:t>
            </w:r>
            <w:r>
              <w:rPr>
                <w:rFonts w:hint="eastAsia" w:ascii="宋体" w:hAnsi="宋体" w:eastAsia="宋体" w:cs="宋体"/>
                <w:kern w:val="0"/>
                <w:sz w:val="24"/>
                <w:szCs w:val="24"/>
              </w:rPr>
              <w:t>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585" w:type="dxa"/>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807"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组织编制防震减灾规划</w:t>
            </w:r>
          </w:p>
        </w:tc>
        <w:tc>
          <w:tcPr>
            <w:tcW w:w="1125"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3465"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规划编制阶段组织不力，把关不严，有失公正</w:t>
            </w:r>
          </w:p>
        </w:tc>
        <w:tc>
          <w:tcPr>
            <w:tcW w:w="810"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低</w:t>
            </w:r>
          </w:p>
        </w:tc>
        <w:tc>
          <w:tcPr>
            <w:tcW w:w="5215" w:type="dxa"/>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加强政治理论、党风廉政和业务学习，不断提高履职尽责的能力和水平，坚持公开咨询、集体研究、民主决策的议事规则，客观公正提出编制意见</w:t>
            </w:r>
          </w:p>
        </w:tc>
        <w:tc>
          <w:tcPr>
            <w:tcW w:w="1167"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震害</w:t>
            </w:r>
            <w:r>
              <w:rPr>
                <w:rFonts w:hint="eastAsia" w:ascii="宋体" w:hAnsi="宋体" w:eastAsia="宋体" w:cs="宋体"/>
                <w:kern w:val="0"/>
                <w:sz w:val="24"/>
                <w:szCs w:val="24"/>
                <w:lang w:eastAsia="zh-CN"/>
              </w:rPr>
              <w:t>防御与科普科科</w:t>
            </w:r>
            <w:r>
              <w:rPr>
                <w:rFonts w:hint="eastAsia" w:ascii="宋体" w:hAnsi="宋体" w:eastAsia="宋体" w:cs="宋体"/>
                <w:kern w:val="0"/>
                <w:sz w:val="24"/>
                <w:szCs w:val="24"/>
              </w:rPr>
              <w:t>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585" w:type="dxa"/>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1807"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划定地震观测环境保护范围，设置保护标志</w:t>
            </w:r>
          </w:p>
        </w:tc>
        <w:tc>
          <w:tcPr>
            <w:tcW w:w="1125"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3465" w:type="dxa"/>
            <w:tcMar>
              <w:top w:w="0" w:type="dxa"/>
              <w:left w:w="108" w:type="dxa"/>
              <w:bottom w:w="0" w:type="dxa"/>
              <w:right w:w="108" w:type="dxa"/>
            </w:tcMar>
            <w:vAlign w:val="center"/>
          </w:tcPr>
          <w:p>
            <w:pPr>
              <w:widowControl/>
              <w:spacing w:line="240" w:lineRule="atLeast"/>
              <w:jc w:val="left"/>
              <w:rPr>
                <w:rFonts w:ascii="宋体" w:hAnsi="宋体" w:eastAsia="宋体" w:cs="宋体"/>
                <w:kern w:val="0"/>
                <w:sz w:val="24"/>
                <w:szCs w:val="24"/>
              </w:rPr>
            </w:pPr>
            <w:r>
              <w:rPr>
                <w:rFonts w:hint="eastAsia" w:ascii="宋体" w:hAnsi="宋体" w:eastAsia="宋体" w:cs="宋体"/>
                <w:kern w:val="0"/>
                <w:sz w:val="24"/>
                <w:szCs w:val="24"/>
              </w:rPr>
              <w:t>地震观测环境保护范围划定错误</w:t>
            </w:r>
          </w:p>
        </w:tc>
        <w:tc>
          <w:tcPr>
            <w:tcW w:w="810" w:type="dxa"/>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中</w:t>
            </w:r>
          </w:p>
        </w:tc>
        <w:tc>
          <w:tcPr>
            <w:tcW w:w="5215" w:type="dxa"/>
            <w:tcMar>
              <w:top w:w="0" w:type="dxa"/>
              <w:left w:w="108" w:type="dxa"/>
              <w:bottom w:w="0" w:type="dxa"/>
              <w:right w:w="108" w:type="dxa"/>
            </w:tcMar>
            <w:vAlign w:val="center"/>
          </w:tcPr>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、严格规范工作流程，认真组织现场勘查；</w:t>
            </w:r>
          </w:p>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、保护范围划定过程中，保证依据充分；</w:t>
            </w:r>
          </w:p>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、保护范围划定过程不受保护区内单位干扰。</w:t>
            </w:r>
          </w:p>
        </w:tc>
        <w:tc>
          <w:tcPr>
            <w:tcW w:w="1167" w:type="dxa"/>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lang w:eastAsia="zh-CN"/>
              </w:rPr>
              <w:t>监测预报和应急科负责人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585" w:type="dxa"/>
            <w:vMerge w:val="restart"/>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807" w:type="dxa"/>
            <w:vMerge w:val="restart"/>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要求建设单位增建抗干扰设施或新建地震监测设施并承担所需费用</w:t>
            </w:r>
          </w:p>
        </w:tc>
        <w:tc>
          <w:tcPr>
            <w:tcW w:w="1125" w:type="dxa"/>
            <w:vMerge w:val="restart"/>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3465" w:type="dxa"/>
            <w:tcMar>
              <w:top w:w="0" w:type="dxa"/>
              <w:left w:w="108" w:type="dxa"/>
              <w:bottom w:w="0" w:type="dxa"/>
              <w:right w:w="108" w:type="dxa"/>
            </w:tcMar>
            <w:vAlign w:val="center"/>
          </w:tcPr>
          <w:p>
            <w:pPr>
              <w:widowControl/>
              <w:spacing w:line="240" w:lineRule="atLeast"/>
              <w:jc w:val="left"/>
              <w:rPr>
                <w:rFonts w:ascii="宋体" w:hAnsi="宋体" w:eastAsia="宋体" w:cs="宋体"/>
                <w:kern w:val="0"/>
                <w:sz w:val="24"/>
                <w:szCs w:val="24"/>
              </w:rPr>
            </w:pPr>
            <w:r>
              <w:rPr>
                <w:rFonts w:hint="eastAsia" w:ascii="宋体" w:hAnsi="宋体" w:eastAsia="宋体" w:cs="宋体"/>
                <w:kern w:val="0"/>
                <w:sz w:val="24"/>
                <w:szCs w:val="24"/>
              </w:rPr>
              <w:t>建设单位提供虚假基础资料</w:t>
            </w:r>
          </w:p>
        </w:tc>
        <w:tc>
          <w:tcPr>
            <w:tcW w:w="810" w:type="dxa"/>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中</w:t>
            </w:r>
          </w:p>
        </w:tc>
        <w:tc>
          <w:tcPr>
            <w:tcW w:w="5215" w:type="dxa"/>
            <w:vMerge w:val="restart"/>
            <w:tcMar>
              <w:top w:w="0" w:type="dxa"/>
              <w:left w:w="108" w:type="dxa"/>
              <w:bottom w:w="0" w:type="dxa"/>
              <w:right w:w="108" w:type="dxa"/>
            </w:tcMar>
            <w:vAlign w:val="center"/>
          </w:tcPr>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严格规范工作流程，组织现场勘查，确保基础资料准确。</w:t>
            </w:r>
          </w:p>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严格规范工作流程，保证评审专家的独立评审，不受建设单位干扰</w:t>
            </w:r>
          </w:p>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向建设单位提供抗干扰设施或地震监测设施采购建议，确保质量</w:t>
            </w:r>
          </w:p>
        </w:tc>
        <w:tc>
          <w:tcPr>
            <w:tcW w:w="1167" w:type="dxa"/>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0" w:type="auto"/>
            <w:vMerge w:val="continue"/>
            <w:vAlign w:val="center"/>
          </w:tcPr>
          <w:p>
            <w:pPr>
              <w:widowControl/>
              <w:jc w:val="left"/>
              <w:rPr>
                <w:rFonts w:ascii="宋体" w:hAnsi="宋体" w:eastAsia="宋体" w:cs="宋体"/>
                <w:kern w:val="0"/>
                <w:sz w:val="24"/>
                <w:szCs w:val="24"/>
              </w:rPr>
            </w:pPr>
          </w:p>
        </w:tc>
        <w:tc>
          <w:tcPr>
            <w:tcW w:w="1807" w:type="dxa"/>
            <w:vMerge w:val="continue"/>
            <w:vAlign w:val="center"/>
          </w:tcPr>
          <w:p>
            <w:pPr>
              <w:widowControl/>
              <w:jc w:val="left"/>
              <w:rPr>
                <w:rFonts w:ascii="宋体" w:hAnsi="宋体" w:eastAsia="宋体" w:cs="宋体"/>
                <w:kern w:val="0"/>
                <w:sz w:val="24"/>
                <w:szCs w:val="24"/>
              </w:rPr>
            </w:pPr>
          </w:p>
        </w:tc>
        <w:tc>
          <w:tcPr>
            <w:tcW w:w="1125" w:type="dxa"/>
            <w:vMerge w:val="continue"/>
            <w:vAlign w:val="center"/>
          </w:tcPr>
          <w:p>
            <w:pPr>
              <w:widowControl/>
              <w:jc w:val="left"/>
              <w:rPr>
                <w:rFonts w:ascii="宋体" w:hAnsi="宋体" w:eastAsia="宋体" w:cs="宋体"/>
                <w:kern w:val="0"/>
                <w:sz w:val="24"/>
                <w:szCs w:val="24"/>
              </w:rPr>
            </w:pPr>
          </w:p>
        </w:tc>
        <w:tc>
          <w:tcPr>
            <w:tcW w:w="3465"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评审专家提供虚假报告</w:t>
            </w:r>
          </w:p>
        </w:tc>
        <w:tc>
          <w:tcPr>
            <w:tcW w:w="810"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中</w:t>
            </w:r>
          </w:p>
        </w:tc>
        <w:tc>
          <w:tcPr>
            <w:tcW w:w="5215" w:type="dxa"/>
            <w:vMerge w:val="continue"/>
            <w:vAlign w:val="center"/>
          </w:tcPr>
          <w:p>
            <w:pPr>
              <w:widowControl/>
              <w:jc w:val="left"/>
              <w:rPr>
                <w:rFonts w:ascii="宋体" w:hAnsi="宋体" w:eastAsia="宋体" w:cs="宋体"/>
                <w:kern w:val="0"/>
                <w:sz w:val="24"/>
                <w:szCs w:val="24"/>
              </w:rPr>
            </w:pPr>
          </w:p>
        </w:tc>
        <w:tc>
          <w:tcPr>
            <w:tcW w:w="1167" w:type="dxa"/>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监测预报</w:t>
            </w:r>
            <w:r>
              <w:rPr>
                <w:rFonts w:hint="eastAsia" w:ascii="宋体" w:hAnsi="宋体" w:eastAsia="宋体" w:cs="宋体"/>
                <w:kern w:val="0"/>
                <w:sz w:val="24"/>
                <w:szCs w:val="24"/>
                <w:lang w:eastAsia="zh-CN"/>
              </w:rPr>
              <w:t>和应急科</w:t>
            </w:r>
            <w:r>
              <w:rPr>
                <w:rFonts w:hint="eastAsia" w:ascii="宋体" w:hAnsi="宋体" w:eastAsia="宋体" w:cs="宋体"/>
                <w:kern w:val="0"/>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0" w:type="auto"/>
            <w:vMerge w:val="continue"/>
            <w:vAlign w:val="center"/>
          </w:tcPr>
          <w:p>
            <w:pPr>
              <w:widowControl/>
              <w:jc w:val="left"/>
              <w:rPr>
                <w:rFonts w:ascii="宋体" w:hAnsi="宋体" w:eastAsia="宋体" w:cs="宋体"/>
                <w:kern w:val="0"/>
                <w:sz w:val="24"/>
                <w:szCs w:val="24"/>
              </w:rPr>
            </w:pPr>
          </w:p>
        </w:tc>
        <w:tc>
          <w:tcPr>
            <w:tcW w:w="1807" w:type="dxa"/>
            <w:vMerge w:val="continue"/>
            <w:vAlign w:val="center"/>
          </w:tcPr>
          <w:p>
            <w:pPr>
              <w:widowControl/>
              <w:jc w:val="left"/>
              <w:rPr>
                <w:rFonts w:ascii="宋体" w:hAnsi="宋体" w:eastAsia="宋体" w:cs="宋体"/>
                <w:kern w:val="0"/>
                <w:sz w:val="24"/>
                <w:szCs w:val="24"/>
              </w:rPr>
            </w:pPr>
          </w:p>
        </w:tc>
        <w:tc>
          <w:tcPr>
            <w:tcW w:w="1125" w:type="dxa"/>
            <w:vMerge w:val="continue"/>
            <w:vAlign w:val="center"/>
          </w:tcPr>
          <w:p>
            <w:pPr>
              <w:widowControl/>
              <w:jc w:val="left"/>
              <w:rPr>
                <w:rFonts w:ascii="宋体" w:hAnsi="宋体" w:eastAsia="宋体" w:cs="宋体"/>
                <w:kern w:val="0"/>
                <w:sz w:val="24"/>
                <w:szCs w:val="24"/>
              </w:rPr>
            </w:pPr>
          </w:p>
        </w:tc>
        <w:tc>
          <w:tcPr>
            <w:tcW w:w="3465"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建设单位增加抗干扰设施或新建地震监测设施质量不合格</w:t>
            </w:r>
          </w:p>
        </w:tc>
        <w:tc>
          <w:tcPr>
            <w:tcW w:w="810"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中</w:t>
            </w:r>
          </w:p>
        </w:tc>
        <w:tc>
          <w:tcPr>
            <w:tcW w:w="5215" w:type="dxa"/>
            <w:vMerge w:val="continue"/>
            <w:vAlign w:val="center"/>
          </w:tcPr>
          <w:p>
            <w:pPr>
              <w:widowControl/>
              <w:jc w:val="left"/>
              <w:rPr>
                <w:rFonts w:ascii="宋体" w:hAnsi="宋体" w:eastAsia="宋体" w:cs="宋体"/>
                <w:kern w:val="0"/>
                <w:sz w:val="24"/>
                <w:szCs w:val="24"/>
              </w:rPr>
            </w:pPr>
          </w:p>
        </w:tc>
        <w:tc>
          <w:tcPr>
            <w:tcW w:w="1167"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585" w:type="dxa"/>
            <w:vMerge w:val="restart"/>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p>
        </w:tc>
        <w:tc>
          <w:tcPr>
            <w:tcW w:w="1807" w:type="dxa"/>
            <w:vMerge w:val="restart"/>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地震安全性评价项目备案</w:t>
            </w:r>
          </w:p>
        </w:tc>
        <w:tc>
          <w:tcPr>
            <w:tcW w:w="1125" w:type="dxa"/>
            <w:vMerge w:val="restart"/>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465"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不按时限要求对申请材料的完整性进行审查</w:t>
            </w:r>
          </w:p>
        </w:tc>
        <w:tc>
          <w:tcPr>
            <w:tcW w:w="810"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低</w:t>
            </w:r>
          </w:p>
        </w:tc>
        <w:tc>
          <w:tcPr>
            <w:tcW w:w="5215" w:type="dxa"/>
            <w:tcMar>
              <w:top w:w="0" w:type="dxa"/>
              <w:left w:w="108" w:type="dxa"/>
              <w:bottom w:w="0" w:type="dxa"/>
              <w:right w:w="108" w:type="dxa"/>
            </w:tcMar>
            <w:vAlign w:val="center"/>
          </w:tcPr>
          <w:p>
            <w:pPr>
              <w:widowControl/>
              <w:spacing w:line="240" w:lineRule="atLeast"/>
              <w:jc w:val="left"/>
              <w:rPr>
                <w:rFonts w:ascii="宋体" w:hAnsi="宋体" w:eastAsia="宋体" w:cs="宋体"/>
                <w:kern w:val="0"/>
                <w:sz w:val="24"/>
                <w:szCs w:val="24"/>
              </w:rPr>
            </w:pPr>
            <w:r>
              <w:rPr>
                <w:kern w:val="0"/>
                <w:sz w:val="24"/>
                <w:szCs w:val="24"/>
              </w:rPr>
              <w:t>根据《安徽省防震减灾条例》《安徽省建设工程地震安全性评价管理办法》规范安评项目备案受理、审查等关键节点的事项，保证行政权力的公开、透明、公正。</w:t>
            </w:r>
          </w:p>
        </w:tc>
        <w:tc>
          <w:tcPr>
            <w:tcW w:w="1167" w:type="dxa"/>
            <w:vMerge w:val="restart"/>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震害</w:t>
            </w:r>
            <w:r>
              <w:rPr>
                <w:rFonts w:hint="eastAsia" w:ascii="宋体" w:hAnsi="宋体" w:eastAsia="宋体" w:cs="宋体"/>
                <w:kern w:val="0"/>
                <w:sz w:val="24"/>
                <w:szCs w:val="24"/>
                <w:lang w:eastAsia="zh-CN"/>
              </w:rPr>
              <w:t>防御与科普科负责人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0" w:type="auto"/>
            <w:vMerge w:val="continue"/>
            <w:vAlign w:val="center"/>
          </w:tcPr>
          <w:p>
            <w:pPr>
              <w:widowControl/>
              <w:jc w:val="left"/>
              <w:rPr>
                <w:rFonts w:ascii="宋体" w:hAnsi="宋体" w:eastAsia="宋体" w:cs="宋体"/>
                <w:kern w:val="0"/>
                <w:sz w:val="24"/>
                <w:szCs w:val="24"/>
              </w:rPr>
            </w:pPr>
          </w:p>
        </w:tc>
        <w:tc>
          <w:tcPr>
            <w:tcW w:w="1807" w:type="dxa"/>
            <w:vMerge w:val="continue"/>
            <w:vAlign w:val="center"/>
          </w:tcPr>
          <w:p>
            <w:pPr>
              <w:widowControl/>
              <w:jc w:val="left"/>
              <w:rPr>
                <w:rFonts w:ascii="宋体" w:hAnsi="宋体" w:eastAsia="宋体" w:cs="宋体"/>
                <w:kern w:val="0"/>
                <w:sz w:val="24"/>
                <w:szCs w:val="24"/>
              </w:rPr>
            </w:pPr>
          </w:p>
        </w:tc>
        <w:tc>
          <w:tcPr>
            <w:tcW w:w="1125" w:type="dxa"/>
            <w:vMerge w:val="continue"/>
            <w:vAlign w:val="center"/>
          </w:tcPr>
          <w:p>
            <w:pPr>
              <w:widowControl/>
              <w:jc w:val="left"/>
              <w:rPr>
                <w:rFonts w:ascii="宋体" w:hAnsi="宋体" w:eastAsia="宋体" w:cs="宋体"/>
                <w:kern w:val="0"/>
                <w:sz w:val="24"/>
                <w:szCs w:val="24"/>
              </w:rPr>
            </w:pPr>
          </w:p>
        </w:tc>
        <w:tc>
          <w:tcPr>
            <w:tcW w:w="3465"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不一次性告知申请所需的全部材料</w:t>
            </w:r>
          </w:p>
        </w:tc>
        <w:tc>
          <w:tcPr>
            <w:tcW w:w="810"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低</w:t>
            </w:r>
          </w:p>
        </w:tc>
        <w:tc>
          <w:tcPr>
            <w:tcW w:w="5215" w:type="dxa"/>
            <w:tcMar>
              <w:top w:w="0" w:type="dxa"/>
              <w:left w:w="108" w:type="dxa"/>
              <w:bottom w:w="0" w:type="dxa"/>
              <w:right w:w="108" w:type="dxa"/>
            </w:tcMar>
            <w:vAlign w:val="center"/>
          </w:tcPr>
          <w:p>
            <w:pPr>
              <w:widowControl/>
              <w:spacing w:line="240" w:lineRule="atLeast"/>
              <w:jc w:val="left"/>
              <w:rPr>
                <w:rFonts w:ascii="宋体" w:hAnsi="宋体" w:eastAsia="宋体" w:cs="宋体"/>
                <w:kern w:val="0"/>
                <w:sz w:val="24"/>
                <w:szCs w:val="24"/>
              </w:rPr>
            </w:pPr>
            <w:r>
              <w:rPr>
                <w:kern w:val="0"/>
                <w:sz w:val="24"/>
                <w:szCs w:val="24"/>
              </w:rPr>
              <w:t>制定地震安全性评价项目备案表格和标准文本，在安徽省政务服务网上公示备案流程图和所需材料，供申请人下载</w:t>
            </w:r>
          </w:p>
        </w:tc>
        <w:tc>
          <w:tcPr>
            <w:tcW w:w="1167" w:type="dxa"/>
            <w:vMerge w:val="continue"/>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0" w:type="auto"/>
            <w:vMerge w:val="continue"/>
            <w:vAlign w:val="center"/>
          </w:tcPr>
          <w:p>
            <w:pPr>
              <w:widowControl/>
              <w:jc w:val="left"/>
              <w:rPr>
                <w:rFonts w:ascii="宋体" w:hAnsi="宋体" w:eastAsia="宋体" w:cs="宋体"/>
                <w:kern w:val="0"/>
                <w:sz w:val="24"/>
                <w:szCs w:val="24"/>
              </w:rPr>
            </w:pPr>
          </w:p>
        </w:tc>
        <w:tc>
          <w:tcPr>
            <w:tcW w:w="1807" w:type="dxa"/>
            <w:vMerge w:val="continue"/>
            <w:vAlign w:val="center"/>
          </w:tcPr>
          <w:p>
            <w:pPr>
              <w:widowControl/>
              <w:jc w:val="left"/>
              <w:rPr>
                <w:rFonts w:ascii="宋体" w:hAnsi="宋体" w:eastAsia="宋体" w:cs="宋体"/>
                <w:kern w:val="0"/>
                <w:sz w:val="24"/>
                <w:szCs w:val="24"/>
              </w:rPr>
            </w:pPr>
          </w:p>
        </w:tc>
        <w:tc>
          <w:tcPr>
            <w:tcW w:w="1125" w:type="dxa"/>
            <w:vMerge w:val="continue"/>
            <w:vAlign w:val="center"/>
          </w:tcPr>
          <w:p>
            <w:pPr>
              <w:widowControl/>
              <w:jc w:val="left"/>
              <w:rPr>
                <w:rFonts w:ascii="宋体" w:hAnsi="宋体" w:eastAsia="宋体" w:cs="宋体"/>
                <w:kern w:val="0"/>
                <w:sz w:val="24"/>
                <w:szCs w:val="24"/>
              </w:rPr>
            </w:pPr>
          </w:p>
        </w:tc>
        <w:tc>
          <w:tcPr>
            <w:tcW w:w="3465"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能够现场补正材料的，不允许申请人当场更正错误</w:t>
            </w:r>
          </w:p>
        </w:tc>
        <w:tc>
          <w:tcPr>
            <w:tcW w:w="810"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低</w:t>
            </w:r>
          </w:p>
        </w:tc>
        <w:tc>
          <w:tcPr>
            <w:tcW w:w="5215" w:type="dxa"/>
            <w:tcMar>
              <w:top w:w="0" w:type="dxa"/>
              <w:left w:w="108" w:type="dxa"/>
              <w:bottom w:w="0" w:type="dxa"/>
              <w:right w:w="108" w:type="dxa"/>
            </w:tcMar>
            <w:vAlign w:val="center"/>
          </w:tcPr>
          <w:p>
            <w:pPr>
              <w:widowControl/>
              <w:spacing w:line="240" w:lineRule="atLeast"/>
              <w:jc w:val="left"/>
              <w:rPr>
                <w:rFonts w:ascii="宋体" w:hAnsi="宋体" w:eastAsia="宋体" w:cs="宋体"/>
                <w:kern w:val="0"/>
                <w:sz w:val="24"/>
                <w:szCs w:val="24"/>
              </w:rPr>
            </w:pPr>
            <w:r>
              <w:rPr>
                <w:kern w:val="0"/>
                <w:sz w:val="24"/>
                <w:szCs w:val="24"/>
              </w:rPr>
              <w:t>严格按照有关要求，对申报材料进行审查，申报材料不完整或者不符合规定的予以退回。对现场可以补正的允许申请人补正材料，严格按照时限办理</w:t>
            </w:r>
          </w:p>
        </w:tc>
        <w:tc>
          <w:tcPr>
            <w:tcW w:w="1167" w:type="dxa"/>
            <w:vMerge w:val="continue"/>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0" w:type="auto"/>
            <w:vMerge w:val="continue"/>
            <w:vAlign w:val="center"/>
          </w:tcPr>
          <w:p>
            <w:pPr>
              <w:widowControl/>
              <w:jc w:val="left"/>
              <w:rPr>
                <w:rFonts w:ascii="宋体" w:hAnsi="宋体" w:eastAsia="宋体" w:cs="宋体"/>
                <w:kern w:val="0"/>
                <w:sz w:val="24"/>
                <w:szCs w:val="24"/>
              </w:rPr>
            </w:pPr>
          </w:p>
        </w:tc>
        <w:tc>
          <w:tcPr>
            <w:tcW w:w="1807" w:type="dxa"/>
            <w:vMerge w:val="continue"/>
            <w:vAlign w:val="center"/>
          </w:tcPr>
          <w:p>
            <w:pPr>
              <w:widowControl/>
              <w:jc w:val="left"/>
              <w:rPr>
                <w:rFonts w:ascii="宋体" w:hAnsi="宋体" w:eastAsia="宋体" w:cs="宋体"/>
                <w:kern w:val="0"/>
                <w:sz w:val="24"/>
                <w:szCs w:val="24"/>
              </w:rPr>
            </w:pPr>
          </w:p>
        </w:tc>
        <w:tc>
          <w:tcPr>
            <w:tcW w:w="1125" w:type="dxa"/>
            <w:vMerge w:val="continue"/>
            <w:vAlign w:val="center"/>
          </w:tcPr>
          <w:p>
            <w:pPr>
              <w:widowControl/>
              <w:jc w:val="left"/>
              <w:rPr>
                <w:rFonts w:ascii="宋体" w:hAnsi="宋体" w:eastAsia="宋体" w:cs="宋体"/>
                <w:kern w:val="0"/>
                <w:sz w:val="24"/>
                <w:szCs w:val="24"/>
              </w:rPr>
            </w:pPr>
          </w:p>
        </w:tc>
        <w:tc>
          <w:tcPr>
            <w:tcW w:w="3465"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不按时限要求对安评项目进行备案</w:t>
            </w:r>
          </w:p>
        </w:tc>
        <w:tc>
          <w:tcPr>
            <w:tcW w:w="810"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低</w:t>
            </w:r>
          </w:p>
        </w:tc>
        <w:tc>
          <w:tcPr>
            <w:tcW w:w="5215" w:type="dxa"/>
            <w:tcMar>
              <w:top w:w="0" w:type="dxa"/>
              <w:left w:w="108" w:type="dxa"/>
              <w:bottom w:w="0" w:type="dxa"/>
              <w:right w:w="108" w:type="dxa"/>
            </w:tcMar>
            <w:vAlign w:val="center"/>
          </w:tcPr>
          <w:p>
            <w:pPr>
              <w:widowControl/>
              <w:spacing w:line="240" w:lineRule="atLeast"/>
              <w:jc w:val="left"/>
              <w:rPr>
                <w:rFonts w:ascii="宋体" w:hAnsi="宋体" w:eastAsia="宋体" w:cs="宋体"/>
                <w:kern w:val="0"/>
                <w:sz w:val="24"/>
                <w:szCs w:val="24"/>
              </w:rPr>
            </w:pPr>
            <w:r>
              <w:rPr>
                <w:kern w:val="0"/>
                <w:sz w:val="24"/>
                <w:szCs w:val="24"/>
              </w:rPr>
              <w:t>对备案过程及其时效性进行实时监控，接受省政务服务管理部门及社会公众的监督</w:t>
            </w:r>
          </w:p>
        </w:tc>
        <w:tc>
          <w:tcPr>
            <w:tcW w:w="1167" w:type="dxa"/>
            <w:vMerge w:val="continue"/>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0" w:type="auto"/>
            <w:vMerge w:val="continue"/>
            <w:vAlign w:val="center"/>
          </w:tcPr>
          <w:p>
            <w:pPr>
              <w:widowControl/>
              <w:jc w:val="left"/>
              <w:rPr>
                <w:rFonts w:ascii="宋体" w:hAnsi="宋体" w:eastAsia="宋体" w:cs="宋体"/>
                <w:kern w:val="0"/>
                <w:sz w:val="24"/>
                <w:szCs w:val="24"/>
              </w:rPr>
            </w:pPr>
          </w:p>
        </w:tc>
        <w:tc>
          <w:tcPr>
            <w:tcW w:w="1807" w:type="dxa"/>
            <w:vMerge w:val="continue"/>
            <w:vAlign w:val="center"/>
          </w:tcPr>
          <w:p>
            <w:pPr>
              <w:widowControl/>
              <w:jc w:val="left"/>
              <w:rPr>
                <w:rFonts w:ascii="宋体" w:hAnsi="宋体" w:eastAsia="宋体" w:cs="宋体"/>
                <w:kern w:val="0"/>
                <w:sz w:val="24"/>
                <w:szCs w:val="24"/>
              </w:rPr>
            </w:pPr>
          </w:p>
        </w:tc>
        <w:tc>
          <w:tcPr>
            <w:tcW w:w="1125" w:type="dxa"/>
            <w:vMerge w:val="continue"/>
            <w:vAlign w:val="center"/>
          </w:tcPr>
          <w:p>
            <w:pPr>
              <w:widowControl/>
              <w:jc w:val="left"/>
              <w:rPr>
                <w:rFonts w:ascii="宋体" w:hAnsi="宋体" w:eastAsia="宋体" w:cs="宋体"/>
                <w:kern w:val="0"/>
                <w:sz w:val="24"/>
                <w:szCs w:val="24"/>
              </w:rPr>
            </w:pPr>
          </w:p>
        </w:tc>
        <w:tc>
          <w:tcPr>
            <w:tcW w:w="3465"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对不应予以备案的项目进行备案</w:t>
            </w:r>
          </w:p>
        </w:tc>
        <w:tc>
          <w:tcPr>
            <w:tcW w:w="810" w:type="dxa"/>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低</w:t>
            </w:r>
          </w:p>
        </w:tc>
        <w:tc>
          <w:tcPr>
            <w:tcW w:w="5215" w:type="dxa"/>
            <w:tcMar>
              <w:top w:w="0" w:type="dxa"/>
              <w:left w:w="108" w:type="dxa"/>
              <w:bottom w:w="0" w:type="dxa"/>
              <w:right w:w="108" w:type="dxa"/>
            </w:tcMar>
            <w:vAlign w:val="center"/>
          </w:tcPr>
          <w:p>
            <w:pPr>
              <w:widowControl/>
              <w:spacing w:line="240" w:lineRule="atLeast"/>
              <w:jc w:val="left"/>
              <w:rPr>
                <w:rFonts w:ascii="宋体" w:hAnsi="宋体" w:eastAsia="宋体" w:cs="宋体"/>
                <w:kern w:val="0"/>
                <w:sz w:val="24"/>
                <w:szCs w:val="24"/>
              </w:rPr>
            </w:pPr>
            <w:r>
              <w:rPr>
                <w:kern w:val="0"/>
                <w:sz w:val="24"/>
                <w:szCs w:val="24"/>
              </w:rPr>
              <w:t>对备案过程及其时效性进行实时监控，接受省政务服务管理部门及社会公众的监督</w:t>
            </w:r>
          </w:p>
        </w:tc>
        <w:tc>
          <w:tcPr>
            <w:tcW w:w="1167" w:type="dxa"/>
            <w:vMerge w:val="continue"/>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585" w:type="dxa"/>
            <w:vMerge w:val="restart"/>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p>
        </w:tc>
        <w:tc>
          <w:tcPr>
            <w:tcW w:w="1807" w:type="dxa"/>
            <w:vMerge w:val="restart"/>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对未依法开展地震台网建设和监测的责令限期改正</w:t>
            </w:r>
          </w:p>
        </w:tc>
        <w:tc>
          <w:tcPr>
            <w:tcW w:w="1125" w:type="dxa"/>
            <w:vMerge w:val="restart"/>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3465" w:type="dxa"/>
            <w:tcMar>
              <w:top w:w="0" w:type="dxa"/>
              <w:left w:w="108" w:type="dxa"/>
              <w:bottom w:w="0" w:type="dxa"/>
              <w:right w:w="108" w:type="dxa"/>
            </w:tcMar>
            <w:vAlign w:val="center"/>
          </w:tcPr>
          <w:p>
            <w:pPr>
              <w:widowControl/>
              <w:spacing w:line="240" w:lineRule="atLeast"/>
              <w:jc w:val="left"/>
              <w:rPr>
                <w:rFonts w:ascii="宋体" w:hAnsi="宋体" w:eastAsia="宋体" w:cs="宋体"/>
                <w:kern w:val="0"/>
                <w:sz w:val="24"/>
                <w:szCs w:val="24"/>
              </w:rPr>
            </w:pPr>
            <w:r>
              <w:rPr>
                <w:rFonts w:hint="eastAsia" w:ascii="宋体" w:hAnsi="宋体" w:eastAsia="宋体" w:cs="宋体"/>
                <w:kern w:val="0"/>
                <w:sz w:val="24"/>
                <w:szCs w:val="24"/>
              </w:rPr>
              <w:t>对未依法开展地震台网建设和监测的单位监督检查工作不力</w:t>
            </w:r>
          </w:p>
        </w:tc>
        <w:tc>
          <w:tcPr>
            <w:tcW w:w="810" w:type="dxa"/>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低</w:t>
            </w:r>
          </w:p>
        </w:tc>
        <w:tc>
          <w:tcPr>
            <w:tcW w:w="5215" w:type="dxa"/>
            <w:tcMar>
              <w:top w:w="0" w:type="dxa"/>
              <w:left w:w="108" w:type="dxa"/>
              <w:bottom w:w="0" w:type="dxa"/>
              <w:right w:w="108" w:type="dxa"/>
            </w:tcMar>
            <w:vAlign w:val="center"/>
          </w:tcPr>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、加强监督检查，加强与县</w:t>
            </w:r>
            <w:r>
              <w:rPr>
                <w:rFonts w:hint="eastAsia" w:ascii="宋体" w:hAnsi="宋体" w:eastAsia="宋体" w:cs="宋体"/>
                <w:kern w:val="0"/>
                <w:sz w:val="24"/>
                <w:szCs w:val="24"/>
                <w:lang w:eastAsia="zh-CN"/>
              </w:rPr>
              <w:t>区</w:t>
            </w:r>
            <w:r>
              <w:rPr>
                <w:rFonts w:hint="eastAsia" w:ascii="宋体" w:hAnsi="宋体" w:eastAsia="宋体" w:cs="宋体"/>
                <w:kern w:val="0"/>
                <w:sz w:val="24"/>
                <w:szCs w:val="24"/>
              </w:rPr>
              <w:t>地震部门联系，监视掌握基层情况</w:t>
            </w:r>
          </w:p>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、对未依法开展地震台网建设和监测的，坚决予以责任追究，不受外界干扰</w:t>
            </w:r>
          </w:p>
        </w:tc>
        <w:tc>
          <w:tcPr>
            <w:tcW w:w="1167" w:type="dxa"/>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监测预报与</w:t>
            </w:r>
            <w:r>
              <w:rPr>
                <w:rFonts w:hint="eastAsia" w:ascii="宋体" w:hAnsi="宋体" w:eastAsia="宋体" w:cs="宋体"/>
                <w:kern w:val="0"/>
                <w:sz w:val="24"/>
                <w:szCs w:val="24"/>
                <w:lang w:eastAsia="zh-CN"/>
              </w:rPr>
              <w:t>应急科</w:t>
            </w:r>
            <w:r>
              <w:rPr>
                <w:rFonts w:hint="eastAsia" w:ascii="宋体" w:hAnsi="宋体" w:eastAsia="宋体" w:cs="宋体"/>
                <w:kern w:val="0"/>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0" w:type="auto"/>
            <w:vMerge w:val="continue"/>
            <w:vAlign w:val="center"/>
          </w:tcPr>
          <w:p>
            <w:pPr>
              <w:widowControl/>
              <w:jc w:val="left"/>
              <w:rPr>
                <w:rFonts w:ascii="宋体" w:hAnsi="宋体" w:eastAsia="宋体" w:cs="宋体"/>
                <w:kern w:val="0"/>
                <w:sz w:val="24"/>
                <w:szCs w:val="24"/>
              </w:rPr>
            </w:pPr>
          </w:p>
        </w:tc>
        <w:tc>
          <w:tcPr>
            <w:tcW w:w="1807" w:type="dxa"/>
            <w:vMerge w:val="continue"/>
            <w:vAlign w:val="center"/>
          </w:tcPr>
          <w:p>
            <w:pPr>
              <w:widowControl/>
              <w:jc w:val="left"/>
              <w:rPr>
                <w:rFonts w:ascii="宋体" w:hAnsi="宋体" w:eastAsia="宋体" w:cs="宋体"/>
                <w:kern w:val="0"/>
                <w:sz w:val="24"/>
                <w:szCs w:val="24"/>
              </w:rPr>
            </w:pPr>
          </w:p>
        </w:tc>
        <w:tc>
          <w:tcPr>
            <w:tcW w:w="1125" w:type="dxa"/>
            <w:vMerge w:val="continue"/>
            <w:vAlign w:val="center"/>
          </w:tcPr>
          <w:p>
            <w:pPr>
              <w:widowControl/>
              <w:jc w:val="left"/>
              <w:rPr>
                <w:rFonts w:ascii="宋体" w:hAnsi="宋体" w:eastAsia="宋体" w:cs="宋体"/>
                <w:kern w:val="0"/>
                <w:sz w:val="24"/>
                <w:szCs w:val="24"/>
              </w:rPr>
            </w:pPr>
          </w:p>
        </w:tc>
        <w:tc>
          <w:tcPr>
            <w:tcW w:w="3465" w:type="dxa"/>
            <w:tcMar>
              <w:top w:w="0" w:type="dxa"/>
              <w:left w:w="108" w:type="dxa"/>
              <w:bottom w:w="0" w:type="dxa"/>
              <w:right w:w="108" w:type="dxa"/>
            </w:tcMar>
            <w:vAlign w:val="center"/>
          </w:tcPr>
          <w:p>
            <w:pPr>
              <w:widowControl/>
              <w:spacing w:line="240" w:lineRule="atLeast"/>
              <w:jc w:val="left"/>
              <w:rPr>
                <w:rFonts w:ascii="宋体" w:hAnsi="宋体" w:eastAsia="宋体" w:cs="宋体"/>
                <w:kern w:val="0"/>
                <w:sz w:val="24"/>
                <w:szCs w:val="24"/>
              </w:rPr>
            </w:pPr>
            <w:r>
              <w:rPr>
                <w:rFonts w:hint="eastAsia" w:ascii="宋体" w:hAnsi="宋体" w:eastAsia="宋体" w:cs="宋体"/>
                <w:kern w:val="0"/>
                <w:sz w:val="24"/>
                <w:szCs w:val="24"/>
              </w:rPr>
              <w:t>对未依法开展地震台网建设和监测的单位监督检查工作不力</w:t>
            </w:r>
          </w:p>
        </w:tc>
        <w:tc>
          <w:tcPr>
            <w:tcW w:w="810" w:type="dxa"/>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低</w:t>
            </w:r>
          </w:p>
        </w:tc>
        <w:tc>
          <w:tcPr>
            <w:tcW w:w="5215" w:type="dxa"/>
            <w:tcMar>
              <w:top w:w="0" w:type="dxa"/>
              <w:left w:w="108" w:type="dxa"/>
              <w:bottom w:w="0" w:type="dxa"/>
              <w:right w:w="108" w:type="dxa"/>
            </w:tcMar>
            <w:vAlign w:val="center"/>
          </w:tcPr>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、加强监督检查，加强与县</w:t>
            </w:r>
            <w:r>
              <w:rPr>
                <w:rFonts w:hint="eastAsia" w:ascii="宋体" w:hAnsi="宋体" w:eastAsia="宋体" w:cs="宋体"/>
                <w:kern w:val="0"/>
                <w:sz w:val="24"/>
                <w:szCs w:val="24"/>
                <w:lang w:eastAsia="zh-CN"/>
              </w:rPr>
              <w:t>区</w:t>
            </w:r>
            <w:r>
              <w:rPr>
                <w:rFonts w:hint="eastAsia" w:ascii="宋体" w:hAnsi="宋体" w:eastAsia="宋体" w:cs="宋体"/>
                <w:kern w:val="0"/>
                <w:sz w:val="24"/>
                <w:szCs w:val="24"/>
              </w:rPr>
              <w:t>地震部门联系，监视掌握基层情况</w:t>
            </w:r>
          </w:p>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、对未依法开展地震台网建设和监测的，坚决予以责任追究，不受外界干扰</w:t>
            </w:r>
          </w:p>
        </w:tc>
        <w:tc>
          <w:tcPr>
            <w:tcW w:w="1167" w:type="dxa"/>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监测预报与</w:t>
            </w:r>
            <w:r>
              <w:rPr>
                <w:rFonts w:hint="eastAsia" w:ascii="宋体" w:hAnsi="宋体" w:eastAsia="宋体" w:cs="宋体"/>
                <w:kern w:val="0"/>
                <w:sz w:val="24"/>
                <w:szCs w:val="24"/>
                <w:lang w:eastAsia="zh-CN"/>
              </w:rPr>
              <w:t>应急科</w:t>
            </w:r>
            <w:r>
              <w:rPr>
                <w:rFonts w:hint="eastAsia" w:ascii="宋体" w:hAnsi="宋体" w:eastAsia="宋体" w:cs="宋体"/>
                <w:kern w:val="0"/>
                <w:sz w:val="24"/>
                <w:szCs w:val="24"/>
              </w:rPr>
              <w:t>负责人</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C50"/>
    <w:rsid w:val="00001175"/>
    <w:rsid w:val="000079BB"/>
    <w:rsid w:val="000108F9"/>
    <w:rsid w:val="00021DC1"/>
    <w:rsid w:val="0003636D"/>
    <w:rsid w:val="000D2C9C"/>
    <w:rsid w:val="00163906"/>
    <w:rsid w:val="001C14D7"/>
    <w:rsid w:val="001F2C4F"/>
    <w:rsid w:val="00212167"/>
    <w:rsid w:val="00241D17"/>
    <w:rsid w:val="00296BC9"/>
    <w:rsid w:val="002E0755"/>
    <w:rsid w:val="003269B3"/>
    <w:rsid w:val="003E5650"/>
    <w:rsid w:val="003F1AAE"/>
    <w:rsid w:val="00400D40"/>
    <w:rsid w:val="00463121"/>
    <w:rsid w:val="00480A29"/>
    <w:rsid w:val="00603B74"/>
    <w:rsid w:val="0063599F"/>
    <w:rsid w:val="006730F5"/>
    <w:rsid w:val="00675590"/>
    <w:rsid w:val="00684FD3"/>
    <w:rsid w:val="006E67E5"/>
    <w:rsid w:val="007473A6"/>
    <w:rsid w:val="00835B0A"/>
    <w:rsid w:val="008A3DEA"/>
    <w:rsid w:val="008E2A25"/>
    <w:rsid w:val="00977533"/>
    <w:rsid w:val="009D01E3"/>
    <w:rsid w:val="00A97DFB"/>
    <w:rsid w:val="00AA1F45"/>
    <w:rsid w:val="00B46762"/>
    <w:rsid w:val="00C30BCC"/>
    <w:rsid w:val="00C94525"/>
    <w:rsid w:val="00C94700"/>
    <w:rsid w:val="00CB33A6"/>
    <w:rsid w:val="00CF451E"/>
    <w:rsid w:val="00CF4AC0"/>
    <w:rsid w:val="00D46C2B"/>
    <w:rsid w:val="00D668AF"/>
    <w:rsid w:val="00DD7401"/>
    <w:rsid w:val="00F23341"/>
    <w:rsid w:val="00F31C50"/>
    <w:rsid w:val="00F5118A"/>
    <w:rsid w:val="00FC38E5"/>
    <w:rsid w:val="06EF2AEB"/>
    <w:rsid w:val="2FEF5FE4"/>
    <w:rsid w:val="5FB6F67A"/>
    <w:rsid w:val="99EE42F4"/>
    <w:rsid w:val="EDDD8818"/>
    <w:rsid w:val="FFB7B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apple-converted-space"/>
    <w:basedOn w:val="6"/>
    <w:qFormat/>
    <w:uiPriority w:val="0"/>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font0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354</Words>
  <Characters>2024</Characters>
  <Lines>16</Lines>
  <Paragraphs>4</Paragraphs>
  <TotalTime>4</TotalTime>
  <ScaleCrop>false</ScaleCrop>
  <LinksUpToDate>false</LinksUpToDate>
  <CharactersWithSpaces>2374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2022-09-28T10:06:00Z</dcterms:created>
  <dc:creator>刘爱东</dc:creator>
  <cp:lastModifiedBy>administartor</cp:lastModifiedBy>
  <dcterms:modified xsi:type="dcterms:W3CDTF">2026-01-12T15:41:33Z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