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eastAsia="黑体"/>
          <w:sz w:val="28"/>
          <w:szCs w:val="28"/>
          <w:lang w:val="en-US" w:eastAsia="zh-CN"/>
        </w:rPr>
      </w:pPr>
      <w:r>
        <w:rPr>
          <w:rFonts w:hint="eastAsia" w:ascii="黑体" w:eastAsia="黑体"/>
          <w:sz w:val="32"/>
          <w:szCs w:val="32"/>
        </w:rPr>
        <w:t>附件</w:t>
      </w:r>
      <w:r>
        <w:rPr>
          <w:rFonts w:hint="eastAsia" w:ascii="黑体" w:eastAsia="黑体"/>
          <w:sz w:val="32"/>
          <w:szCs w:val="32"/>
          <w:lang w:val="en-US" w:eastAsia="zh-CN"/>
        </w:rPr>
        <w:t>5</w:t>
      </w:r>
    </w:p>
    <w:p>
      <w:pPr>
        <w:spacing w:line="620" w:lineRule="exact"/>
        <w:rPr>
          <w:rFonts w:ascii="方正小标宋_GBK" w:eastAsia="方正小标宋_GBK"/>
          <w:sz w:val="32"/>
          <w:szCs w:val="32"/>
        </w:rPr>
      </w:pPr>
    </w:p>
    <w:p>
      <w:pPr>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lang w:eastAsia="zh-CN"/>
        </w:rPr>
        <w:t>市</w:t>
      </w:r>
      <w:r>
        <w:rPr>
          <w:rFonts w:hint="eastAsia" w:ascii="方正小标宋简体" w:eastAsia="方正小标宋简体" w:cs="方正小标宋简体"/>
          <w:sz w:val="44"/>
          <w:szCs w:val="44"/>
        </w:rPr>
        <w:t>地震局公共服务事项服务指南（202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rPr>
        <w:t>年版）</w:t>
      </w:r>
      <w:bookmarkStart w:id="0" w:name="_GoBack"/>
      <w:bookmarkEnd w:id="0"/>
    </w:p>
    <w:p>
      <w:pPr>
        <w:spacing w:line="600" w:lineRule="exact"/>
        <w:jc w:val="center"/>
        <w:rPr>
          <w:rFonts w:ascii="方正小标宋简体" w:eastAsia="方正小标宋简体" w:cs="方正小标宋简体"/>
          <w:sz w:val="44"/>
          <w:szCs w:val="44"/>
        </w:rPr>
      </w:pPr>
    </w:p>
    <w:p>
      <w:pPr>
        <w:spacing w:line="600" w:lineRule="exact"/>
        <w:jc w:val="center"/>
        <w:rPr>
          <w:rFonts w:ascii="宋体" w:hAnsi="宋体" w:cs="宋体"/>
          <w:b/>
          <w:color w:val="000000"/>
          <w:kern w:val="0"/>
          <w:sz w:val="44"/>
          <w:szCs w:val="44"/>
        </w:rPr>
      </w:pPr>
      <w:r>
        <w:rPr>
          <w:rFonts w:hint="eastAsia" w:ascii="宋体" w:hAnsi="宋体" w:cs="宋体"/>
          <w:b/>
          <w:color w:val="000000"/>
          <w:kern w:val="0"/>
          <w:sz w:val="44"/>
          <w:szCs w:val="44"/>
        </w:rPr>
        <w:t>防震减灾知识宣传教育服务指南</w:t>
      </w:r>
    </w:p>
    <w:p>
      <w:pPr>
        <w:spacing w:line="600" w:lineRule="exact"/>
        <w:ind w:firstLine="640" w:firstLineChars="200"/>
        <w:rPr>
          <w:rFonts w:hAnsi="黑体" w:eastAsia="黑体" w:cs="黑体"/>
          <w:color w:val="000000"/>
          <w:sz w:val="32"/>
          <w:szCs w:val="32"/>
        </w:rPr>
      </w:pP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一、办理依据</w:t>
      </w:r>
    </w:p>
    <w:p>
      <w:pPr>
        <w:spacing w:line="600" w:lineRule="exact"/>
        <w:ind w:firstLine="640" w:firstLineChars="200"/>
        <w:rPr>
          <w:rFonts w:eastAsia="仿宋_GB2312"/>
          <w:color w:val="000000"/>
          <w:sz w:val="32"/>
          <w:szCs w:val="32"/>
        </w:rPr>
      </w:pPr>
      <w:r>
        <w:rPr>
          <w:rFonts w:hint="eastAsia" w:eastAsia="仿宋_GB2312"/>
          <w:color w:val="000000"/>
          <w:sz w:val="32"/>
          <w:szCs w:val="32"/>
        </w:rPr>
        <w:t>1.《中华人民共和国防震减灾法》第四十四条  国务院地震工作主管部门和县级以上地方人民政府负责管理地震工作的部门或者机构，应当指导、协助、督促有关单位做好防震减灾知识的宣传教育和地震应急救援演练等工作。</w:t>
      </w:r>
    </w:p>
    <w:p>
      <w:pPr>
        <w:spacing w:line="600" w:lineRule="exact"/>
        <w:ind w:firstLine="640" w:firstLineChars="200"/>
        <w:rPr>
          <w:rFonts w:eastAsia="仿宋_GB2312"/>
          <w:color w:val="000000"/>
          <w:sz w:val="32"/>
          <w:szCs w:val="32"/>
        </w:rPr>
      </w:pPr>
      <w:r>
        <w:rPr>
          <w:rFonts w:hint="eastAsia" w:eastAsia="仿宋_GB2312"/>
          <w:color w:val="000000"/>
          <w:sz w:val="32"/>
          <w:szCs w:val="32"/>
        </w:rPr>
        <w:t xml:space="preserve">2.《安徽省防震减灾条例》第二十二条  各级人民政府和有关部门应当把防震减灾知识纳入国民素质教育体系的重要内容，推进地震安全社区、防震减灾科普示范学校和教育基地等建设，利用防震减灾宣传活动周开展多种形式宣传教育和应急演练活动，增强公民防震减灾意识，提高公民应急救助能力。县级以上人民政府地震工作主管部门应当指导、协助和督促有关单位做好防震减灾知识宣传教育和救援演练等工作。  </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地震局震害防御</w:t>
      </w:r>
      <w:r>
        <w:rPr>
          <w:rFonts w:hint="eastAsia" w:eastAsia="仿宋_GB2312"/>
          <w:color w:val="000000"/>
          <w:sz w:val="32"/>
          <w:szCs w:val="32"/>
          <w:lang w:eastAsia="zh-CN"/>
        </w:rPr>
        <w:t>与科普科</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rPr>
          <w:rFonts w:eastAsia="仿宋_GB2312"/>
          <w:color w:val="000000"/>
          <w:sz w:val="32"/>
          <w:szCs w:val="32"/>
        </w:rPr>
      </w:pPr>
      <w:r>
        <w:rPr>
          <w:rFonts w:hint="eastAsia" w:eastAsia="仿宋_GB2312"/>
          <w:color w:val="000000"/>
          <w:sz w:val="32"/>
          <w:szCs w:val="32"/>
        </w:rPr>
        <w:t>个人（公民）、法人、社会组织</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四、服务流程</w:t>
      </w:r>
    </w:p>
    <w:p>
      <w:pPr>
        <w:spacing w:line="600" w:lineRule="exact"/>
        <w:ind w:firstLine="640" w:firstLineChars="200"/>
        <w:rPr>
          <w:rFonts w:eastAsia="仿宋_GB2312"/>
          <w:color w:val="000000"/>
          <w:sz w:val="32"/>
          <w:szCs w:val="32"/>
        </w:rPr>
      </w:pPr>
      <w:r>
        <w:rPr>
          <w:rFonts w:hint="eastAsia" w:eastAsia="仿宋_GB2312"/>
          <w:color w:val="000000"/>
          <w:sz w:val="32"/>
          <w:szCs w:val="32"/>
        </w:rPr>
        <w:t>1.明确防震减灾知识的宣传教育活动主题；</w:t>
      </w:r>
    </w:p>
    <w:p>
      <w:pPr>
        <w:spacing w:line="600" w:lineRule="exact"/>
        <w:ind w:firstLine="640" w:firstLineChars="200"/>
        <w:rPr>
          <w:rFonts w:eastAsia="仿宋_GB2312"/>
          <w:color w:val="000000"/>
          <w:sz w:val="32"/>
          <w:szCs w:val="32"/>
        </w:rPr>
      </w:pPr>
      <w:r>
        <w:rPr>
          <w:rFonts w:hint="eastAsia" w:eastAsia="仿宋_GB2312"/>
          <w:color w:val="000000"/>
          <w:sz w:val="32"/>
          <w:szCs w:val="32"/>
        </w:rPr>
        <w:t>2.明确防震减灾知识宣传教育时间和活动的责任分工；</w:t>
      </w:r>
    </w:p>
    <w:p>
      <w:pPr>
        <w:spacing w:line="600" w:lineRule="exact"/>
        <w:ind w:firstLine="640" w:firstLineChars="200"/>
        <w:rPr>
          <w:rFonts w:eastAsia="仿宋_GB2312"/>
          <w:color w:val="000000"/>
          <w:sz w:val="32"/>
          <w:szCs w:val="32"/>
        </w:rPr>
      </w:pPr>
      <w:r>
        <w:rPr>
          <w:rFonts w:hint="eastAsia" w:eastAsia="仿宋_GB2312"/>
          <w:color w:val="000000"/>
          <w:sz w:val="32"/>
          <w:szCs w:val="32"/>
        </w:rPr>
        <w:t>3.利用多种媒介宣传教育防震减灾知识。</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五、服务时限</w:t>
      </w:r>
    </w:p>
    <w:p>
      <w:pPr>
        <w:spacing w:line="600" w:lineRule="exact"/>
        <w:ind w:firstLine="640" w:firstLineChars="200"/>
        <w:rPr>
          <w:rFonts w:eastAsia="仿宋_GB2312"/>
          <w:color w:val="000000"/>
          <w:sz w:val="32"/>
          <w:szCs w:val="32"/>
        </w:rPr>
      </w:pPr>
      <w:r>
        <w:rPr>
          <w:rFonts w:hint="eastAsia" w:eastAsia="仿宋_GB2312"/>
          <w:color w:val="000000"/>
          <w:sz w:val="32"/>
          <w:szCs w:val="32"/>
        </w:rPr>
        <w:t>根据服务对象需求及工作实际情况</w:t>
      </w:r>
      <w:r>
        <w:rPr>
          <w:rFonts w:eastAsia="仿宋_GB2312"/>
          <w:color w:val="000000"/>
          <w:sz w:val="32"/>
          <w:szCs w:val="32"/>
        </w:rPr>
        <w:t>确定</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六、收费依据及标准</w:t>
      </w:r>
    </w:p>
    <w:p>
      <w:pPr>
        <w:spacing w:line="600" w:lineRule="exact"/>
        <w:ind w:firstLine="640" w:firstLineChars="200"/>
        <w:rPr>
          <w:rFonts w:hAnsi="黑体" w:eastAsia="黑体" w:cs="黑体"/>
          <w:color w:val="000000"/>
          <w:sz w:val="32"/>
          <w:szCs w:val="32"/>
        </w:rPr>
      </w:pPr>
      <w:r>
        <w:rPr>
          <w:rFonts w:hint="eastAsia" w:eastAsia="仿宋_GB2312"/>
          <w:color w:val="000000"/>
          <w:sz w:val="32"/>
          <w:szCs w:val="32"/>
        </w:rPr>
        <w:t>免费</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七</w:t>
      </w:r>
      <w:r>
        <w:rPr>
          <w:rFonts w:hAnsi="黑体" w:eastAsia="黑体" w:cs="黑体"/>
          <w:color w:val="000000"/>
          <w:sz w:val="32"/>
          <w:szCs w:val="32"/>
        </w:rPr>
        <w:t>、咨询方式</w:t>
      </w:r>
    </w:p>
    <w:p>
      <w:pPr>
        <w:spacing w:line="600" w:lineRule="exact"/>
        <w:ind w:firstLine="640" w:firstLineChars="200"/>
        <w:rPr>
          <w:rFonts w:eastAsia="仿宋_GB2312"/>
          <w:color w:val="000000"/>
          <w:sz w:val="32"/>
          <w:szCs w:val="32"/>
        </w:rPr>
      </w:pPr>
      <w:r>
        <w:rPr>
          <w:rFonts w:hint="eastAsia" w:eastAsia="仿宋_GB2312"/>
          <w:color w:val="000000"/>
          <w:sz w:val="32"/>
          <w:szCs w:val="32"/>
        </w:rPr>
        <w:t>联系电话</w:t>
      </w:r>
      <w:r>
        <w:rPr>
          <w:rFonts w:eastAsia="仿宋_GB2312"/>
          <w:color w:val="000000"/>
          <w:sz w:val="32"/>
          <w:szCs w:val="32"/>
        </w:rPr>
        <w:t>：0</w:t>
      </w:r>
      <w:r>
        <w:rPr>
          <w:rFonts w:hint="eastAsia" w:eastAsia="仿宋_GB2312"/>
          <w:color w:val="000000"/>
          <w:sz w:val="32"/>
          <w:szCs w:val="32"/>
          <w:lang w:val="en-US" w:eastAsia="zh-CN"/>
        </w:rPr>
        <w:t>564-3378332</w:t>
      </w:r>
      <w:r>
        <w:rPr>
          <w:rFonts w:eastAsia="仿宋_GB2312"/>
          <w:color w:val="000000"/>
          <w:sz w:val="32"/>
          <w:szCs w:val="32"/>
        </w:rPr>
        <w:br w:type="page"/>
      </w:r>
    </w:p>
    <w:p>
      <w:pPr>
        <w:spacing w:line="600" w:lineRule="exact"/>
        <w:jc w:val="center"/>
        <w:rPr>
          <w:rFonts w:ascii="宋体" w:hAnsi="宋体" w:cs="宋体"/>
          <w:b/>
          <w:color w:val="000000"/>
          <w:kern w:val="0"/>
          <w:sz w:val="44"/>
          <w:szCs w:val="44"/>
        </w:rPr>
      </w:pPr>
      <w:r>
        <w:rPr>
          <w:rFonts w:hint="eastAsia" w:ascii="宋体" w:hAnsi="宋体" w:cs="宋体"/>
          <w:b/>
          <w:color w:val="000000"/>
          <w:kern w:val="0"/>
          <w:sz w:val="44"/>
          <w:szCs w:val="44"/>
        </w:rPr>
        <w:t>农村民居建设抗震技术指导服务指南</w:t>
      </w:r>
    </w:p>
    <w:p>
      <w:pPr>
        <w:spacing w:line="600" w:lineRule="exact"/>
        <w:ind w:firstLine="640" w:firstLineChars="200"/>
        <w:rPr>
          <w:rFonts w:hAnsi="黑体" w:eastAsia="黑体" w:cs="黑体"/>
          <w:color w:val="000000"/>
          <w:sz w:val="32"/>
          <w:szCs w:val="32"/>
        </w:rPr>
      </w:pP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一、办理依据</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 xml:space="preserve">《安徽省防震减灾条例》第二十条 县级以上人民政府住房城乡建设、地震工作主管部门应当组织为农村村民住宅建设提供下列抗震技术指导和服务 。（一）开展农村住宅实用抗震技术的研究开发，制定农村住宅建设技术标准，编制适合不同地区、不同需求的农村住宅抗震设计图集和施工技术指南，并向建房农民免费提供；（二）开展地震环境和场地条件勘察，提供地震环境、建房选址技术咨询和技术服务，为农村住宅建设选址、确定抗震设防要求提供依据；（三）开展农村建筑工匠建筑抗震基础知识、房屋结构抗震方法、房屋抗震加固等施工技术培训；（四）开展农村村民住宅抗震性能调查研究和防震减灾知识的宣传普及。                            </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contextualSpacing/>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地震局震害防御</w:t>
      </w:r>
      <w:r>
        <w:rPr>
          <w:rFonts w:hint="eastAsia" w:eastAsia="仿宋_GB2312"/>
          <w:color w:val="000000"/>
          <w:sz w:val="32"/>
          <w:szCs w:val="32"/>
          <w:lang w:eastAsia="zh-CN"/>
        </w:rPr>
        <w:t>与科普科</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个人（公民）、法人、社会组织</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四、服务流程</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1.印制适合不同地区、不同需求的农村住宅抗震知识挂图和技术指南，向有需求群体免费提供；</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2. 开展农村建筑工匠建筑抗震基础知识、房屋结构抗震方法、房屋抗震加固等施工技术培训。</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五、服务时限</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根据服务对象需求及工作实际情况</w:t>
      </w:r>
      <w:r>
        <w:rPr>
          <w:rFonts w:eastAsia="仿宋_GB2312"/>
          <w:color w:val="000000"/>
          <w:sz w:val="32"/>
          <w:szCs w:val="32"/>
        </w:rPr>
        <w:t>确定</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六、收费依据及标准</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免费</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七</w:t>
      </w:r>
      <w:r>
        <w:rPr>
          <w:rFonts w:hAnsi="黑体" w:eastAsia="黑体" w:cs="黑体"/>
          <w:color w:val="000000"/>
          <w:sz w:val="32"/>
          <w:szCs w:val="32"/>
        </w:rPr>
        <w:t>、咨询方式</w:t>
      </w:r>
    </w:p>
    <w:p>
      <w:pPr>
        <w:spacing w:line="600" w:lineRule="exact"/>
        <w:ind w:firstLine="640" w:firstLineChars="200"/>
        <w:rPr>
          <w:rFonts w:ascii="宋体" w:hAnsi="宋体" w:cs="宋体"/>
          <w:b/>
          <w:color w:val="000000"/>
          <w:kern w:val="0"/>
          <w:sz w:val="44"/>
          <w:szCs w:val="44"/>
        </w:rPr>
      </w:pPr>
      <w:r>
        <w:rPr>
          <w:rFonts w:hint="eastAsia" w:eastAsia="仿宋_GB2312"/>
          <w:color w:val="000000"/>
          <w:sz w:val="32"/>
          <w:szCs w:val="32"/>
        </w:rPr>
        <w:t>联系电话</w:t>
      </w:r>
      <w:r>
        <w:rPr>
          <w:rFonts w:eastAsia="仿宋_GB2312"/>
          <w:color w:val="000000"/>
          <w:sz w:val="32"/>
          <w:szCs w:val="32"/>
        </w:rPr>
        <w:t>：05</w:t>
      </w:r>
      <w:r>
        <w:rPr>
          <w:rFonts w:hint="eastAsia" w:eastAsia="仿宋_GB2312"/>
          <w:color w:val="000000"/>
          <w:sz w:val="32"/>
          <w:szCs w:val="32"/>
          <w:lang w:val="en-US" w:eastAsia="zh-CN"/>
        </w:rPr>
        <w:t>64-3378332</w:t>
      </w:r>
      <w:r>
        <w:rPr>
          <w:rFonts w:ascii="方正小标宋简体" w:eastAsia="方正小标宋简体"/>
          <w:color w:val="000000"/>
          <w:kern w:val="0"/>
          <w:sz w:val="32"/>
          <w:szCs w:val="32"/>
        </w:rPr>
        <w:br w:type="page"/>
      </w:r>
      <w:r>
        <w:rPr>
          <w:rFonts w:hint="eastAsia" w:ascii="方正小标宋简体" w:eastAsia="方正小标宋简体"/>
          <w:color w:val="000000"/>
          <w:kern w:val="0"/>
          <w:sz w:val="32"/>
          <w:szCs w:val="32"/>
        </w:rPr>
        <w:t xml:space="preserve">        </w:t>
      </w:r>
      <w:r>
        <w:rPr>
          <w:rFonts w:hint="eastAsia" w:ascii="宋体" w:hAnsi="宋体" w:cs="宋体"/>
          <w:b/>
          <w:color w:val="000000"/>
          <w:kern w:val="0"/>
          <w:sz w:val="44"/>
          <w:szCs w:val="44"/>
        </w:rPr>
        <w:t>地震宏观异常调查核实服务指南</w:t>
      </w:r>
    </w:p>
    <w:p>
      <w:pPr>
        <w:spacing w:line="600" w:lineRule="exact"/>
        <w:ind w:firstLine="640" w:firstLineChars="200"/>
        <w:rPr>
          <w:rFonts w:ascii="楷体" w:hAnsi="楷体" w:eastAsia="楷体" w:cs="宋体"/>
          <w:b/>
          <w:color w:val="000000"/>
          <w:sz w:val="32"/>
          <w:szCs w:val="32"/>
        </w:rPr>
      </w:pP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一、办理依据</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中华人民共和国防震减灾法》第二十七条：观测到可能与地震有关的异常现象的单位和个人，可以向所在地县级以上地方人民政府负责管理地震工作的部门或者机构报告，也可以直接向国务院地震工作主管部门报告。国务院地震工作主管部门和县级以上地方人民政府负责管理地震工作的部门或者机构接到报告后，应当进行登记并及时组织调查核实。</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安徽省防震减灾条例》第十一条：任何单位或者个人观测到可能与地震有关的异常自然现象，可以及时向所在地县级以上人民政府地震工作主管部门报告。地震工作主管部门接到报告后，应当立即登记、组织调查核实，并予以回复。</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地震局监测预报</w:t>
      </w:r>
      <w:r>
        <w:rPr>
          <w:rFonts w:hint="eastAsia" w:eastAsia="仿宋_GB2312"/>
          <w:color w:val="000000"/>
          <w:sz w:val="32"/>
          <w:szCs w:val="32"/>
          <w:lang w:eastAsia="zh-CN"/>
        </w:rPr>
        <w:t>和应急科</w:t>
      </w:r>
      <w:r>
        <w:rPr>
          <w:rFonts w:hint="eastAsia" w:eastAsia="仿宋_GB2312"/>
          <w:color w:val="000000"/>
          <w:sz w:val="32"/>
          <w:szCs w:val="32"/>
        </w:rPr>
        <w:t>、</w:t>
      </w:r>
      <w:r>
        <w:rPr>
          <w:rFonts w:hint="eastAsia" w:eastAsia="仿宋_GB2312"/>
          <w:color w:val="000000"/>
          <w:sz w:val="32"/>
          <w:szCs w:val="32"/>
          <w:lang w:eastAsia="zh-CN"/>
        </w:rPr>
        <w:t>六安市地震台</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rPr>
          <w:rFonts w:eastAsia="仿宋_GB2312"/>
          <w:color w:val="000000"/>
          <w:sz w:val="32"/>
          <w:szCs w:val="32"/>
        </w:rPr>
      </w:pPr>
      <w:r>
        <w:rPr>
          <w:rFonts w:hint="eastAsia" w:eastAsia="仿宋_GB2312"/>
          <w:color w:val="000000"/>
          <w:sz w:val="32"/>
          <w:szCs w:val="32"/>
        </w:rPr>
        <w:t>公民、法人、其他社会组织</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四、申请条件</w:t>
      </w:r>
    </w:p>
    <w:p>
      <w:pPr>
        <w:spacing w:line="600" w:lineRule="exact"/>
        <w:ind w:firstLine="640" w:firstLineChars="200"/>
        <w:rPr>
          <w:rFonts w:eastAsia="仿宋_GB2312"/>
          <w:color w:val="000000"/>
          <w:sz w:val="32"/>
          <w:szCs w:val="32"/>
        </w:rPr>
      </w:pPr>
      <w:r>
        <w:rPr>
          <w:rFonts w:hint="eastAsia" w:eastAsia="仿宋_GB2312"/>
          <w:color w:val="000000"/>
          <w:sz w:val="32"/>
          <w:szCs w:val="32"/>
        </w:rPr>
        <w:t>发现地下水、生物、植物异常等宏观异常现象的公民、法人、其他社会组织</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五、申报材料</w:t>
      </w:r>
    </w:p>
    <w:p>
      <w:pPr>
        <w:spacing w:line="600" w:lineRule="exact"/>
        <w:ind w:firstLine="640" w:firstLineChars="200"/>
        <w:rPr>
          <w:rFonts w:eastAsia="仿宋_GB2312"/>
          <w:color w:val="000000"/>
          <w:sz w:val="32"/>
          <w:szCs w:val="32"/>
        </w:rPr>
      </w:pPr>
      <w:r>
        <w:rPr>
          <w:rFonts w:hint="eastAsia" w:eastAsia="仿宋_GB2312"/>
          <w:color w:val="000000"/>
          <w:sz w:val="32"/>
          <w:szCs w:val="32"/>
        </w:rPr>
        <w:t>来电或来函申请</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六、服务流程</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申请：申请人来函、电联系，提出申请；</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受理：由工作人员安排具体时间；</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核实：按照属地原则，安排宏观异常发生所在地的地震部门专业人员调查异常现象；必要时，由</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地震局组成专家组进行现场核实。</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回复：根据核实结果进行回复。</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七、办理时限</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三个工作日</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八、收费依据及标准</w:t>
      </w:r>
    </w:p>
    <w:p>
      <w:pPr>
        <w:spacing w:line="600" w:lineRule="exact"/>
        <w:ind w:firstLine="640" w:firstLineChars="200"/>
        <w:rPr>
          <w:rFonts w:eastAsia="仿宋_GB2312"/>
          <w:color w:val="000000"/>
          <w:sz w:val="32"/>
          <w:szCs w:val="32"/>
        </w:rPr>
      </w:pPr>
      <w:r>
        <w:rPr>
          <w:rFonts w:hint="eastAsia" w:eastAsia="仿宋_GB2312"/>
          <w:color w:val="000000"/>
          <w:sz w:val="32"/>
          <w:szCs w:val="32"/>
        </w:rPr>
        <w:t>免费</w:t>
      </w:r>
    </w:p>
    <w:p>
      <w:pPr>
        <w:spacing w:line="600" w:lineRule="exact"/>
        <w:ind w:firstLine="640" w:firstLineChars="200"/>
        <w:contextualSpacing/>
        <w:rPr>
          <w:rFonts w:hAnsi="黑体" w:eastAsia="黑体" w:cs="黑体"/>
          <w:color w:val="000000"/>
          <w:sz w:val="32"/>
          <w:szCs w:val="32"/>
        </w:rPr>
      </w:pPr>
      <w:r>
        <w:rPr>
          <w:rFonts w:hint="eastAsia" w:hAnsi="黑体" w:eastAsia="黑体" w:cs="黑体"/>
          <w:color w:val="000000"/>
          <w:sz w:val="32"/>
          <w:szCs w:val="32"/>
        </w:rPr>
        <w:t>九、</w:t>
      </w:r>
      <w:r>
        <w:rPr>
          <w:rFonts w:hAnsi="黑体" w:eastAsia="黑体" w:cs="黑体"/>
          <w:color w:val="000000"/>
          <w:sz w:val="32"/>
          <w:szCs w:val="32"/>
        </w:rPr>
        <w:t>咨询方式</w:t>
      </w:r>
    </w:p>
    <w:p>
      <w:pPr>
        <w:spacing w:line="600" w:lineRule="exact"/>
        <w:ind w:firstLine="640" w:firstLineChars="200"/>
        <w:contextualSpacing/>
        <w:jc w:val="left"/>
        <w:rPr>
          <w:rFonts w:hint="default" w:eastAsia="仿宋_GB2312"/>
          <w:color w:val="000000"/>
          <w:sz w:val="32"/>
          <w:szCs w:val="32"/>
          <w:lang w:val="en-US" w:eastAsia="zh-CN"/>
        </w:rPr>
      </w:pPr>
      <w:r>
        <w:rPr>
          <w:rFonts w:hint="eastAsia" w:eastAsia="仿宋_GB2312"/>
          <w:color w:val="000000"/>
          <w:sz w:val="32"/>
          <w:szCs w:val="32"/>
        </w:rPr>
        <w:t>联系电话</w:t>
      </w:r>
      <w:r>
        <w:rPr>
          <w:rFonts w:eastAsia="仿宋_GB2312"/>
          <w:color w:val="000000"/>
          <w:sz w:val="32"/>
          <w:szCs w:val="32"/>
        </w:rPr>
        <w:t>：05</w:t>
      </w:r>
      <w:r>
        <w:rPr>
          <w:rFonts w:hint="eastAsia" w:eastAsia="仿宋_GB2312"/>
          <w:color w:val="000000"/>
          <w:sz w:val="32"/>
          <w:szCs w:val="32"/>
          <w:lang w:val="en-US" w:eastAsia="zh-CN"/>
        </w:rPr>
        <w:t>64-3379496</w:t>
      </w:r>
    </w:p>
    <w:p>
      <w:pPr>
        <w:spacing w:line="600" w:lineRule="exact"/>
        <w:jc w:val="center"/>
        <w:rPr>
          <w:rFonts w:ascii="宋体" w:hAnsi="宋体" w:cs="宋体"/>
          <w:b/>
          <w:color w:val="000000"/>
          <w:kern w:val="0"/>
          <w:sz w:val="44"/>
          <w:szCs w:val="44"/>
        </w:rPr>
      </w:pPr>
      <w:r>
        <w:rPr>
          <w:rFonts w:ascii="方正小标宋简体" w:eastAsia="方正小标宋简体"/>
          <w:color w:val="000000"/>
          <w:kern w:val="0"/>
          <w:sz w:val="32"/>
          <w:szCs w:val="32"/>
        </w:rPr>
        <w:br w:type="page"/>
      </w:r>
      <w:r>
        <w:rPr>
          <w:rFonts w:hint="eastAsia" w:ascii="宋体" w:hAnsi="宋体" w:cs="宋体"/>
          <w:b/>
          <w:color w:val="000000"/>
          <w:kern w:val="0"/>
          <w:sz w:val="44"/>
          <w:szCs w:val="44"/>
        </w:rPr>
        <w:t>地震信息发布服务指南</w:t>
      </w:r>
    </w:p>
    <w:p>
      <w:pPr>
        <w:spacing w:line="600" w:lineRule="exact"/>
        <w:ind w:firstLine="640" w:firstLineChars="200"/>
        <w:rPr>
          <w:rFonts w:hAnsi="黑体" w:eastAsia="黑体" w:cs="黑体"/>
          <w:color w:val="000000"/>
          <w:sz w:val="32"/>
          <w:szCs w:val="32"/>
        </w:rPr>
      </w:pP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一、办理依据</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《中华人民共和国防震减灾法》第二十五条：国务院地震工作主管部门建立健全地震监测信息共享平台，为社会提供服务。</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第三十一条：国家支持全国地震烈度速报系统的建设。地震灾害发生后，国务院地震工作主管部门应当通过全国地震烈度速报系统快速判断致灾程度，为指挥抗震救灾工作提供依据。                                                       第五十二条：地震灾区的县级以上地方人民政府应当及时将地震震情和灾情等信息向上一级人民政府报告，必要时可以越级上报，不得迟报、谎报、瞒报。地震震情、灾情和抗震救灾等信息按照国务院有关规定实行归口管理，统一、准确、及时发布。</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 xml:space="preserve">第五十二条：地震灾区的县级以上地方人民政府应当及时将地震震情和灾情等信息向上一级人民政府报告，必要时可以越级上报，不得迟报、谎报、瞒报。地震震情、灾情和抗震救灾等信息按照国务院有关规定实行归口管理，统一、准确、及时发布。           </w:t>
      </w:r>
      <w:r>
        <w:rPr>
          <w:rFonts w:eastAsia="仿宋_GB2312"/>
          <w:color w:val="000000"/>
          <w:sz w:val="32"/>
          <w:szCs w:val="32"/>
        </w:rPr>
        <w:t xml:space="preserve">                                      </w:t>
      </w:r>
      <w:r>
        <w:rPr>
          <w:rFonts w:hint="eastAsia" w:eastAsia="仿宋_GB2312"/>
          <w:color w:val="000000"/>
          <w:sz w:val="32"/>
          <w:szCs w:val="32"/>
        </w:rPr>
        <w:t xml:space="preserve">                            </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contextualSpacing/>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地震局监测预报</w:t>
      </w:r>
      <w:r>
        <w:rPr>
          <w:rFonts w:hint="eastAsia" w:eastAsia="仿宋_GB2312"/>
          <w:color w:val="000000"/>
          <w:sz w:val="32"/>
          <w:szCs w:val="32"/>
          <w:lang w:eastAsia="zh-CN"/>
        </w:rPr>
        <w:t>和应急科</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个人（公民）、法人、社会组织</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四、服务流程</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地震发生后，工作人员在</w:t>
      </w:r>
      <w:r>
        <w:rPr>
          <w:rFonts w:hint="eastAsia" w:eastAsia="仿宋_GB2312"/>
          <w:color w:val="000000"/>
          <w:sz w:val="32"/>
          <w:szCs w:val="32"/>
          <w:lang w:eastAsia="zh-CN"/>
        </w:rPr>
        <w:t>市</w:t>
      </w:r>
      <w:r>
        <w:rPr>
          <w:rFonts w:hint="eastAsia" w:eastAsia="仿宋_GB2312"/>
          <w:color w:val="000000"/>
          <w:sz w:val="32"/>
          <w:szCs w:val="32"/>
        </w:rPr>
        <w:t>地震局门户网站“震情</w:t>
      </w:r>
      <w:r>
        <w:rPr>
          <w:rFonts w:hint="eastAsia" w:eastAsia="仿宋_GB2312"/>
          <w:color w:val="000000"/>
          <w:sz w:val="32"/>
          <w:szCs w:val="32"/>
          <w:lang w:eastAsia="zh-CN"/>
        </w:rPr>
        <w:t>通报</w:t>
      </w:r>
      <w:r>
        <w:rPr>
          <w:rFonts w:hint="eastAsia" w:eastAsia="仿宋_GB2312"/>
          <w:color w:val="000000"/>
          <w:sz w:val="32"/>
          <w:szCs w:val="32"/>
        </w:rPr>
        <w:t>”的栏目中发布。</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五、服务时限</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即办</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六、收费依据及标准</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免费</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七</w:t>
      </w:r>
      <w:r>
        <w:rPr>
          <w:rFonts w:hAnsi="黑体" w:eastAsia="黑体" w:cs="黑体"/>
          <w:color w:val="000000"/>
          <w:sz w:val="32"/>
          <w:szCs w:val="32"/>
        </w:rPr>
        <w:t>、咨询方式</w:t>
      </w:r>
    </w:p>
    <w:p>
      <w:p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联系电话</w:t>
      </w:r>
      <w:r>
        <w:rPr>
          <w:rFonts w:eastAsia="仿宋_GB2312"/>
          <w:color w:val="000000"/>
          <w:sz w:val="32"/>
          <w:szCs w:val="32"/>
        </w:rPr>
        <w:t>：05</w:t>
      </w:r>
      <w:r>
        <w:rPr>
          <w:rFonts w:hint="eastAsia" w:eastAsia="仿宋_GB2312"/>
          <w:color w:val="000000"/>
          <w:sz w:val="32"/>
          <w:szCs w:val="32"/>
          <w:lang w:val="en-US" w:eastAsia="zh-CN"/>
        </w:rPr>
        <w:t>64-3379496</w:t>
      </w: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jc w:val="both"/>
        <w:rPr>
          <w:rFonts w:ascii="宋体" w:hAnsi="宋体" w:cs="宋体"/>
          <w:b/>
          <w:color w:val="000000"/>
          <w:kern w:val="0"/>
          <w:sz w:val="44"/>
          <w:szCs w:val="44"/>
        </w:rPr>
      </w:pPr>
    </w:p>
    <w:p>
      <w:pPr>
        <w:spacing w:line="600" w:lineRule="exact"/>
        <w:jc w:val="center"/>
        <w:rPr>
          <w:rFonts w:ascii="宋体" w:hAnsi="宋体" w:cs="宋体"/>
          <w:b/>
          <w:color w:val="000000"/>
          <w:kern w:val="0"/>
          <w:sz w:val="44"/>
          <w:szCs w:val="44"/>
        </w:rPr>
      </w:pPr>
      <w:r>
        <w:rPr>
          <w:rFonts w:hint="eastAsia" w:ascii="宋体" w:hAnsi="宋体" w:cs="宋体"/>
          <w:b/>
          <w:color w:val="000000"/>
          <w:kern w:val="0"/>
          <w:sz w:val="44"/>
          <w:szCs w:val="44"/>
        </w:rPr>
        <w:t>建设单位增建、新建抗干扰设施指导服务指南</w:t>
      </w:r>
    </w:p>
    <w:p>
      <w:pPr>
        <w:spacing w:line="600" w:lineRule="exact"/>
        <w:ind w:firstLine="640" w:firstLineChars="200"/>
        <w:rPr>
          <w:rFonts w:hAnsi="黑体" w:eastAsia="黑体" w:cs="黑体"/>
          <w:color w:val="000000"/>
          <w:sz w:val="32"/>
          <w:szCs w:val="32"/>
        </w:rPr>
      </w:pP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一、办理依据</w:t>
      </w:r>
    </w:p>
    <w:p>
      <w:pPr>
        <w:spacing w:line="600" w:lineRule="exact"/>
        <w:ind w:firstLine="640" w:firstLineChars="200"/>
        <w:rPr>
          <w:rFonts w:eastAsia="仿宋_GB2312"/>
          <w:color w:val="000000"/>
          <w:sz w:val="32"/>
          <w:szCs w:val="32"/>
        </w:rPr>
      </w:pPr>
      <w:r>
        <w:rPr>
          <w:rFonts w:hint="eastAsia" w:eastAsia="仿宋_GB2312"/>
          <w:color w:val="000000"/>
          <w:sz w:val="32"/>
          <w:szCs w:val="32"/>
        </w:rPr>
        <w:t>《中华人民共和国防震减灾法》第二十四条：新建、扩建、改建建设工程，应当避免对地震监测设施和地震观测环境造成危害。建设国家重点工程，确实无法避免对地震监测设施和地震观测环境造成危害的，建设单位应当按照县级以上地方人民政府负责管理地震工作的部门或者机构的要求，增建抗干扰设施；不能增建抗干扰设施的，应当新建地震监测设施。</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地震局监测预报</w:t>
      </w:r>
      <w:r>
        <w:rPr>
          <w:rFonts w:hint="eastAsia" w:eastAsia="仿宋_GB2312"/>
          <w:color w:val="000000"/>
          <w:sz w:val="32"/>
          <w:szCs w:val="32"/>
          <w:lang w:eastAsia="zh-CN"/>
        </w:rPr>
        <w:t>和应急科</w:t>
      </w:r>
      <w:r>
        <w:rPr>
          <w:rFonts w:hint="eastAsia" w:eastAsia="仿宋_GB2312"/>
          <w:color w:val="000000"/>
          <w:sz w:val="32"/>
          <w:szCs w:val="32"/>
        </w:rPr>
        <w:t>、</w:t>
      </w:r>
      <w:r>
        <w:rPr>
          <w:rFonts w:hint="eastAsia" w:eastAsia="仿宋_GB2312"/>
          <w:color w:val="000000"/>
          <w:sz w:val="32"/>
          <w:szCs w:val="32"/>
          <w:lang w:eastAsia="zh-CN"/>
        </w:rPr>
        <w:t>六安市地震台</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rPr>
          <w:rFonts w:eastAsia="仿宋_GB2312"/>
          <w:color w:val="000000"/>
          <w:sz w:val="32"/>
          <w:szCs w:val="32"/>
        </w:rPr>
      </w:pPr>
      <w:r>
        <w:rPr>
          <w:rFonts w:hint="eastAsia" w:eastAsia="仿宋_GB2312"/>
          <w:color w:val="000000"/>
          <w:sz w:val="32"/>
          <w:szCs w:val="32"/>
        </w:rPr>
        <w:t>公民、法人、其他社会组织</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四、申请条件</w:t>
      </w:r>
    </w:p>
    <w:p>
      <w:pPr>
        <w:spacing w:line="600" w:lineRule="exact"/>
        <w:ind w:firstLine="640" w:firstLineChars="200"/>
        <w:rPr>
          <w:rFonts w:eastAsia="仿宋_GB2312"/>
          <w:color w:val="000000"/>
          <w:sz w:val="32"/>
          <w:szCs w:val="32"/>
        </w:rPr>
      </w:pPr>
      <w:r>
        <w:rPr>
          <w:rFonts w:hint="eastAsia" w:eastAsia="仿宋_GB2312"/>
          <w:color w:val="000000"/>
          <w:sz w:val="32"/>
          <w:szCs w:val="32"/>
        </w:rPr>
        <w:t>对地震监测设施和地震观测环境造成潜在影响和危害的公民、法人、其他社会组织。</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五、申报材料</w:t>
      </w:r>
    </w:p>
    <w:p>
      <w:pPr>
        <w:spacing w:line="600" w:lineRule="exact"/>
        <w:ind w:firstLine="640" w:firstLineChars="200"/>
        <w:rPr>
          <w:rFonts w:eastAsia="仿宋_GB2312"/>
          <w:color w:val="000000"/>
          <w:sz w:val="32"/>
          <w:szCs w:val="32"/>
        </w:rPr>
      </w:pPr>
      <w:r>
        <w:rPr>
          <w:rFonts w:hint="eastAsia" w:eastAsia="仿宋_GB2312"/>
          <w:color w:val="000000"/>
          <w:sz w:val="32"/>
          <w:szCs w:val="32"/>
        </w:rPr>
        <w:t>来电或来函</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六、服务流程</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申请：申请人来函、电联系，提出申请；</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受理：由工作人员安排具体时间；</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勘察：按照属地原则，由新建、扩建、改建建设工程所在地的地震部门按照《</w:t>
      </w:r>
      <w:r>
        <w:rPr>
          <w:rFonts w:ascii="仿宋_GB2312" w:eastAsia="仿宋_GB2312"/>
          <w:color w:val="000000"/>
          <w:sz w:val="32"/>
          <w:szCs w:val="32"/>
        </w:rPr>
        <w:t>GBT 19531.2-2004</w:t>
      </w:r>
      <w:r>
        <w:rPr>
          <w:rFonts w:hint="eastAsia" w:ascii="仿宋_GB2312" w:eastAsia="仿宋_GB2312"/>
          <w:color w:val="000000"/>
          <w:sz w:val="32"/>
          <w:szCs w:val="32"/>
        </w:rPr>
        <w:t>地震台站观测环境技术要求》进行勘察；必要时，由</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地震局组成专家组进行现场勘察；</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回复：根据勘察结果进行回复。</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七、办理时限</w:t>
      </w: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五个工作日</w:t>
      </w:r>
    </w:p>
    <w:p>
      <w:pPr>
        <w:spacing w:line="600" w:lineRule="exact"/>
        <w:ind w:firstLine="640" w:firstLineChars="200"/>
        <w:rPr>
          <w:rFonts w:eastAsia="黑体"/>
          <w:color w:val="000000"/>
          <w:sz w:val="32"/>
          <w:szCs w:val="32"/>
        </w:rPr>
      </w:pPr>
      <w:r>
        <w:rPr>
          <w:rFonts w:hint="eastAsia" w:hAnsi="黑体" w:eastAsia="黑体" w:cs="黑体"/>
          <w:color w:val="000000"/>
          <w:sz w:val="32"/>
          <w:szCs w:val="32"/>
        </w:rPr>
        <w:t>八、收费依据及标准</w:t>
      </w:r>
    </w:p>
    <w:p>
      <w:pPr>
        <w:spacing w:line="600" w:lineRule="exact"/>
        <w:ind w:firstLine="640" w:firstLineChars="200"/>
        <w:rPr>
          <w:rFonts w:eastAsia="仿宋_GB2312"/>
          <w:color w:val="000000"/>
          <w:sz w:val="32"/>
          <w:szCs w:val="32"/>
        </w:rPr>
      </w:pPr>
      <w:r>
        <w:rPr>
          <w:rFonts w:hint="eastAsia" w:eastAsia="仿宋_GB2312"/>
          <w:color w:val="000000"/>
          <w:sz w:val="32"/>
          <w:szCs w:val="32"/>
        </w:rPr>
        <w:t>免费</w:t>
      </w:r>
    </w:p>
    <w:p>
      <w:pPr>
        <w:spacing w:line="600" w:lineRule="exact"/>
        <w:ind w:firstLine="640" w:firstLineChars="200"/>
        <w:contextualSpacing/>
        <w:rPr>
          <w:rFonts w:hAnsi="黑体" w:eastAsia="黑体" w:cs="黑体"/>
          <w:color w:val="000000"/>
          <w:sz w:val="32"/>
          <w:szCs w:val="32"/>
        </w:rPr>
      </w:pPr>
      <w:r>
        <w:rPr>
          <w:rFonts w:hint="eastAsia" w:hAnsi="黑体" w:eastAsia="黑体" w:cs="黑体"/>
          <w:color w:val="000000"/>
          <w:sz w:val="32"/>
          <w:szCs w:val="32"/>
        </w:rPr>
        <w:t>九、</w:t>
      </w:r>
      <w:r>
        <w:rPr>
          <w:rFonts w:hAnsi="黑体" w:eastAsia="黑体" w:cs="黑体"/>
          <w:color w:val="000000"/>
          <w:sz w:val="32"/>
          <w:szCs w:val="32"/>
        </w:rPr>
        <w:t>咨询方式</w:t>
      </w:r>
    </w:p>
    <w:p>
      <w:pPr>
        <w:spacing w:line="600" w:lineRule="exact"/>
        <w:ind w:firstLine="640" w:firstLineChars="200"/>
        <w:contextualSpacing/>
        <w:jc w:val="left"/>
        <w:rPr>
          <w:rFonts w:hint="default" w:eastAsia="仿宋_GB2312"/>
          <w:color w:val="000000"/>
          <w:sz w:val="32"/>
          <w:szCs w:val="32"/>
          <w:lang w:val="en-US" w:eastAsia="zh-CN"/>
        </w:rPr>
      </w:pPr>
      <w:r>
        <w:rPr>
          <w:rFonts w:hint="eastAsia" w:eastAsia="仿宋_GB2312"/>
          <w:color w:val="000000"/>
          <w:sz w:val="32"/>
          <w:szCs w:val="32"/>
        </w:rPr>
        <w:t>联系电话</w:t>
      </w:r>
      <w:r>
        <w:rPr>
          <w:rFonts w:eastAsia="仿宋_GB2312"/>
          <w:color w:val="000000"/>
          <w:sz w:val="32"/>
          <w:szCs w:val="32"/>
        </w:rPr>
        <w:t>：05</w:t>
      </w:r>
      <w:r>
        <w:rPr>
          <w:rFonts w:hint="eastAsia" w:eastAsia="仿宋_GB2312"/>
          <w:color w:val="000000"/>
          <w:sz w:val="32"/>
          <w:szCs w:val="32"/>
          <w:lang w:val="en-US" w:eastAsia="zh-CN"/>
        </w:rPr>
        <w:t>64-3379496</w:t>
      </w: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ind w:firstLine="640" w:firstLineChars="200"/>
        <w:rPr>
          <w:rFonts w:hint="eastAsia"/>
          <w:color w:val="000000"/>
          <w:sz w:val="32"/>
          <w:szCs w:val="32"/>
        </w:rPr>
      </w:pPr>
    </w:p>
    <w:p>
      <w:pPr>
        <w:spacing w:line="600" w:lineRule="exact"/>
        <w:jc w:val="center"/>
        <w:rPr>
          <w:rFonts w:ascii="宋体" w:hAnsi="宋体" w:cs="宋体"/>
          <w:b/>
          <w:color w:val="000000"/>
          <w:kern w:val="0"/>
          <w:sz w:val="44"/>
          <w:szCs w:val="44"/>
        </w:rPr>
      </w:pPr>
      <w:r>
        <w:rPr>
          <w:rFonts w:hint="eastAsia" w:ascii="宋体" w:hAnsi="宋体" w:cs="宋体"/>
          <w:b/>
          <w:color w:val="000000"/>
          <w:kern w:val="0"/>
          <w:sz w:val="44"/>
          <w:szCs w:val="44"/>
        </w:rPr>
        <w:t>区域性地震安全性评价成果查询服务指南</w:t>
      </w:r>
    </w:p>
    <w:p>
      <w:pPr>
        <w:spacing w:line="600" w:lineRule="exact"/>
        <w:ind w:firstLine="640" w:firstLineChars="200"/>
        <w:rPr>
          <w:rFonts w:hAnsi="黑体" w:eastAsia="黑体" w:cs="黑体"/>
          <w:color w:val="000000"/>
          <w:sz w:val="32"/>
          <w:szCs w:val="32"/>
        </w:rPr>
      </w:pP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一、办理依据</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安徽省建设工程地震安全性评价管理办法》第五条：设区的市人民政府应当在依法设立的开发区、新区和其他有条件的区域，统一组织对地震安全性评价事项实行区域评估，不再对区域内的企业等市场主体单独提出评估要求。区域评估的费用不得由市场主体承担。</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 xml:space="preserve">对已经完成区域评估范围内的有关建设工程，有关地方人民政府负责管理地震工作的部门或者机构，应当及时告知有关建设单位区域性地震安全性评价结果及相应抗震设防要求。                            </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contextualSpacing/>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地震局震害防御</w:t>
      </w:r>
      <w:r>
        <w:rPr>
          <w:rFonts w:hint="eastAsia" w:eastAsia="仿宋_GB2312"/>
          <w:color w:val="000000"/>
          <w:sz w:val="32"/>
          <w:szCs w:val="32"/>
          <w:lang w:eastAsia="zh-CN"/>
        </w:rPr>
        <w:t>与科普科</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个人（公民）、法人、社会组织</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四、服务流程</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访问安徽省防震减灾信息网“安徽省地震安全性评价服务系统”的“参数查询”栏，查询有关区域性地震安全性评价成果。</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五、服务时限</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即办</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六、收费依据及标准</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免费</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七</w:t>
      </w:r>
      <w:r>
        <w:rPr>
          <w:rFonts w:hAnsi="黑体" w:eastAsia="黑体" w:cs="黑体"/>
          <w:color w:val="000000"/>
          <w:sz w:val="32"/>
          <w:szCs w:val="32"/>
        </w:rPr>
        <w:t>、咨询方式</w:t>
      </w:r>
    </w:p>
    <w:p>
      <w:p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联系电话</w:t>
      </w:r>
      <w:r>
        <w:rPr>
          <w:rFonts w:eastAsia="仿宋_GB2312"/>
          <w:color w:val="000000"/>
          <w:sz w:val="32"/>
          <w:szCs w:val="32"/>
        </w:rPr>
        <w:t>：05</w:t>
      </w:r>
      <w:r>
        <w:rPr>
          <w:rFonts w:hint="eastAsia" w:eastAsia="仿宋_GB2312"/>
          <w:color w:val="000000"/>
          <w:sz w:val="32"/>
          <w:szCs w:val="32"/>
          <w:lang w:val="en-US" w:eastAsia="zh-CN"/>
        </w:rPr>
        <w:t>64-3378332</w:t>
      </w: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hint="eastAsia" w:asciiTheme="minorEastAsia" w:hAnsiTheme="minorEastAsia" w:eastAsiaTheme="minorEastAsia"/>
          <w:b/>
          <w:sz w:val="44"/>
          <w:szCs w:val="44"/>
        </w:rPr>
      </w:pP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地震安全保障服务指南</w:t>
      </w:r>
    </w:p>
    <w:p>
      <w:pPr>
        <w:rPr>
          <w:sz w:val="32"/>
          <w:szCs w:val="32"/>
        </w:rPr>
      </w:pPr>
    </w:p>
    <w:p>
      <w:pPr>
        <w:spacing w:line="600" w:lineRule="exact"/>
        <w:ind w:firstLine="640" w:firstLineChars="200"/>
        <w:rPr>
          <w:rFonts w:hAnsi="黑体" w:eastAsia="黑体" w:cs="黑体"/>
          <w:color w:val="000000"/>
          <w:sz w:val="32"/>
          <w:szCs w:val="32"/>
        </w:rPr>
      </w:pPr>
      <w:r>
        <w:rPr>
          <w:rFonts w:hint="eastAsia"/>
          <w:sz w:val="32"/>
          <w:szCs w:val="32"/>
        </w:rPr>
        <w:t xml:space="preserve"> </w:t>
      </w:r>
      <w:r>
        <w:rPr>
          <w:rFonts w:hint="eastAsia" w:hAnsi="黑体" w:eastAsia="黑体" w:cs="黑体"/>
          <w:color w:val="000000"/>
          <w:sz w:val="32"/>
          <w:szCs w:val="32"/>
        </w:rPr>
        <w:t>一、办理依据</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《中国地震局重大活动地震安全保障服务工作规则（试行）》第三条 本规则所指的地震安保，是指为确保重大活动顺利举办，各相关单位在准备、实施阶段，从监测预报、风险防范、应急准备、新闻宣传、值守信息等方面开展的保障服务工作。</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 xml:space="preserve">第四条 重大活动地震安保由中国地震局党组统一领导，各相关单位按照任务分工密切配合、共同实施。                            </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contextualSpacing/>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地震局监测预报</w:t>
      </w:r>
      <w:r>
        <w:rPr>
          <w:rFonts w:hint="eastAsia" w:eastAsia="仿宋_GB2312"/>
          <w:color w:val="000000"/>
          <w:sz w:val="32"/>
          <w:szCs w:val="32"/>
          <w:lang w:eastAsia="zh-CN"/>
        </w:rPr>
        <w:t>和应急科</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个人（公民）、法人、社会组织</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四、服务流程</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在全国或安徽举办重大活动期间，从监测预报、风险防范、应急准备、新闻宣传、值守信息等方面开展保障服务工作。</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五、服务时限</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根据重大活动举办时间</w:t>
      </w:r>
      <w:r>
        <w:rPr>
          <w:rFonts w:eastAsia="仿宋_GB2312"/>
          <w:color w:val="000000"/>
          <w:sz w:val="32"/>
          <w:szCs w:val="32"/>
        </w:rPr>
        <w:t>确定</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六、收费依据及标准</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免费</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七</w:t>
      </w:r>
      <w:r>
        <w:rPr>
          <w:rFonts w:hAnsi="黑体" w:eastAsia="黑体" w:cs="黑体"/>
          <w:color w:val="000000"/>
          <w:sz w:val="32"/>
          <w:szCs w:val="32"/>
        </w:rPr>
        <w:t>、咨询方式</w:t>
      </w:r>
    </w:p>
    <w:p>
      <w:pPr>
        <w:ind w:firstLine="640" w:firstLineChars="200"/>
        <w:rPr>
          <w:rFonts w:hint="eastAsia" w:eastAsia="仿宋_GB2312"/>
          <w:color w:val="000000"/>
          <w:sz w:val="32"/>
          <w:szCs w:val="32"/>
          <w:lang w:val="en-US" w:eastAsia="zh-CN"/>
        </w:rPr>
      </w:pPr>
      <w:r>
        <w:rPr>
          <w:rFonts w:hint="eastAsia" w:eastAsia="仿宋_GB2312"/>
          <w:color w:val="000000"/>
          <w:sz w:val="32"/>
          <w:szCs w:val="32"/>
        </w:rPr>
        <w:t>联系电话</w:t>
      </w:r>
      <w:r>
        <w:rPr>
          <w:rFonts w:eastAsia="仿宋_GB2312"/>
          <w:color w:val="000000"/>
          <w:sz w:val="32"/>
          <w:szCs w:val="32"/>
        </w:rPr>
        <w:t>：05</w:t>
      </w:r>
      <w:r>
        <w:rPr>
          <w:rFonts w:hint="eastAsia" w:eastAsia="仿宋_GB2312"/>
          <w:color w:val="000000"/>
          <w:sz w:val="32"/>
          <w:szCs w:val="32"/>
          <w:lang w:val="en-US" w:eastAsia="zh-CN"/>
        </w:rPr>
        <w:t>64-3379496</w:t>
      </w:r>
    </w:p>
    <w:p>
      <w:pPr>
        <w:widowControl/>
        <w:wordWrap w:val="0"/>
        <w:jc w:val="center"/>
        <w:rPr>
          <w:rFonts w:hint="eastAsia" w:asciiTheme="minorEastAsia" w:hAnsiTheme="minorEastAsia" w:eastAsiaTheme="minorEastAsia" w:cstheme="minorEastAsia"/>
          <w:b/>
          <w:bCs w:val="0"/>
          <w:kern w:val="0"/>
          <w:sz w:val="44"/>
          <w:szCs w:val="44"/>
          <w:lang w:eastAsia="zh-CN"/>
        </w:rPr>
      </w:pPr>
      <w:r>
        <w:rPr>
          <w:rFonts w:hint="eastAsia" w:asciiTheme="minorEastAsia" w:hAnsiTheme="minorEastAsia" w:eastAsiaTheme="minorEastAsia" w:cstheme="minorEastAsia"/>
          <w:b/>
          <w:bCs w:val="0"/>
          <w:kern w:val="0"/>
          <w:sz w:val="44"/>
          <w:szCs w:val="44"/>
          <w:lang w:eastAsia="zh-CN"/>
        </w:rPr>
        <w:t>一般建设工程抗震设防参数确定服务指南</w:t>
      </w:r>
    </w:p>
    <w:p>
      <w:pPr>
        <w:spacing w:line="600" w:lineRule="exact"/>
        <w:ind w:firstLine="640" w:firstLineChars="200"/>
        <w:rPr>
          <w:rFonts w:hint="eastAsia" w:hAnsi="黑体" w:eastAsia="黑体" w:cs="黑体"/>
          <w:color w:val="000000"/>
          <w:sz w:val="32"/>
          <w:szCs w:val="32"/>
        </w:rPr>
      </w:pP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一、办理依据</w:t>
      </w:r>
    </w:p>
    <w:p>
      <w:pPr>
        <w:spacing w:line="600" w:lineRule="exact"/>
        <w:ind w:firstLine="640" w:firstLineChars="200"/>
        <w:contextualSpacing/>
        <w:rPr>
          <w:rFonts w:hint="eastAsia" w:eastAsia="仿宋_GB2312"/>
          <w:color w:val="000000"/>
          <w:sz w:val="32"/>
          <w:szCs w:val="32"/>
        </w:rPr>
      </w:pPr>
      <w:r>
        <w:rPr>
          <w:rFonts w:hint="eastAsia" w:eastAsia="仿宋_GB2312"/>
          <w:color w:val="000000"/>
          <w:sz w:val="32"/>
          <w:szCs w:val="32"/>
        </w:rPr>
        <w:t>1.《中华人民共和国防震减灾法》第三十四条：国务院地震工作主管部门和省、自治区、直辖市人民政府负责管理地震工作的部门或者机构，负责审定建设工程的地震安全性评价报告，确定抗震设防要求。</w:t>
      </w:r>
    </w:p>
    <w:p>
      <w:pPr>
        <w:spacing w:line="600" w:lineRule="exact"/>
        <w:ind w:firstLine="640" w:firstLineChars="200"/>
        <w:contextualSpacing/>
        <w:rPr>
          <w:rFonts w:hint="eastAsia" w:eastAsia="仿宋_GB2312"/>
          <w:color w:val="000000"/>
          <w:sz w:val="32"/>
          <w:szCs w:val="32"/>
        </w:rPr>
      </w:pPr>
      <w:r>
        <w:rPr>
          <w:rFonts w:hint="eastAsia" w:eastAsia="仿宋_GB2312"/>
          <w:color w:val="000000"/>
          <w:sz w:val="32"/>
          <w:szCs w:val="32"/>
        </w:rPr>
        <w:t>第三十五条：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建设工程的地震安全性评价单位应当按照国家有关标准进行地震安全性评价，并对地震安全性评价报告的质量负责。</w:t>
      </w:r>
    </w:p>
    <w:p>
      <w:pPr>
        <w:spacing w:line="600" w:lineRule="exact"/>
        <w:ind w:firstLine="640" w:firstLineChars="200"/>
        <w:contextualSpacing/>
        <w:rPr>
          <w:rFonts w:hint="eastAsia" w:eastAsia="仿宋_GB2312"/>
          <w:color w:val="000000"/>
          <w:sz w:val="32"/>
          <w:szCs w:val="32"/>
        </w:rPr>
      </w:pPr>
      <w:r>
        <w:rPr>
          <w:rFonts w:hint="eastAsia" w:eastAsia="仿宋_GB2312"/>
          <w:color w:val="000000"/>
          <w:sz w:val="32"/>
          <w:szCs w:val="32"/>
        </w:rPr>
        <w:t>2.《安徽省防震减灾条例》（2012年8月17日安徽省十一届人大常委会第35次会议修订）第十四条：新建、扩建、改建建设工程，应当达到抗震设防要求。重大建设工程和可能发生严重次生灾害的建设工程，应当进行地震安全性评价，并按照经审定的地震安全性评价报告确定的抗震设防要求进行抗震设防...。</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 xml:space="preserve">第十五条：重大建设工程和可能发生严重次生灾害的建设工程，建设单位应当在项目可行性研究或者项目申请报告阶段委托具有相应资质的地震安全性评价单位开展地震安全性评价工作，并接受所在地县级以上人民政府地震工作主管部门的监督管理。地震安全性评价单位应当将其承担的地震安全性评价项目报项目所在地县级以上人民政府地震工作主管部门备案。其他建设工程，建设单位应当在项目可行性研究或者项目申请报告阶段向工程所在地的县级以上人民政府地震工作主管部门申请核定建设工程的抗震设防要求，地震工作主管部门应当自收到申请之日起三个工作日内，依据地震动参数区划图或者地震小区划图予以核定。                            </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二、承办机构</w:t>
      </w:r>
    </w:p>
    <w:p>
      <w:pPr>
        <w:spacing w:line="600" w:lineRule="exact"/>
        <w:ind w:firstLine="640" w:firstLineChars="200"/>
        <w:contextualSpacing/>
        <w:rPr>
          <w:rFonts w:hint="eastAsia" w:eastAsia="仿宋_GB2312"/>
          <w:color w:val="000000"/>
          <w:sz w:val="32"/>
          <w:szCs w:val="32"/>
          <w:lang w:eastAsia="zh-CN"/>
        </w:rPr>
      </w:pPr>
      <w:r>
        <w:rPr>
          <w:rFonts w:hint="eastAsia" w:eastAsia="仿宋_GB2312"/>
          <w:color w:val="000000"/>
          <w:sz w:val="32"/>
          <w:szCs w:val="32"/>
          <w:lang w:eastAsia="zh-CN"/>
        </w:rPr>
        <w:t>市</w:t>
      </w:r>
      <w:r>
        <w:rPr>
          <w:rFonts w:hint="eastAsia" w:eastAsia="仿宋_GB2312"/>
          <w:color w:val="000000"/>
          <w:sz w:val="32"/>
          <w:szCs w:val="32"/>
        </w:rPr>
        <w:t>地震局震害防御</w:t>
      </w:r>
      <w:r>
        <w:rPr>
          <w:rFonts w:hint="eastAsia" w:eastAsia="仿宋_GB2312"/>
          <w:color w:val="000000"/>
          <w:sz w:val="32"/>
          <w:szCs w:val="32"/>
          <w:lang w:eastAsia="zh-CN"/>
        </w:rPr>
        <w:t>与科普科</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三、服务对象</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个人（公民）、法人、社会组织</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四、服务流程</w:t>
      </w:r>
    </w:p>
    <w:p>
      <w:pPr>
        <w:spacing w:line="600" w:lineRule="exact"/>
        <w:ind w:firstLine="640" w:firstLineChars="200"/>
        <w:contextualSpacing/>
        <w:rPr>
          <w:rFonts w:hint="eastAsia" w:eastAsia="仿宋_GB2312"/>
          <w:color w:val="000000"/>
          <w:sz w:val="32"/>
          <w:szCs w:val="32"/>
          <w:lang w:eastAsia="zh-CN"/>
        </w:rPr>
      </w:pPr>
      <w:r>
        <w:rPr>
          <w:rFonts w:hint="eastAsia" w:eastAsia="仿宋_GB2312"/>
          <w:color w:val="000000"/>
          <w:sz w:val="32"/>
          <w:szCs w:val="32"/>
          <w:lang w:eastAsia="zh-CN"/>
        </w:rPr>
        <w:t>申请人来函或来电提出申请，市地震局</w:t>
      </w:r>
      <w:r>
        <w:rPr>
          <w:rFonts w:hint="eastAsia" w:eastAsia="仿宋_GB2312"/>
          <w:color w:val="000000"/>
          <w:sz w:val="32"/>
          <w:szCs w:val="32"/>
        </w:rPr>
        <w:t>依据地震动参数区划图或者地震小区划图予以核定</w:t>
      </w:r>
      <w:r>
        <w:rPr>
          <w:rFonts w:hint="eastAsia" w:eastAsia="仿宋_GB2312"/>
          <w:color w:val="000000"/>
          <w:sz w:val="32"/>
          <w:szCs w:val="32"/>
          <w:lang w:eastAsia="zh-CN"/>
        </w:rPr>
        <w:t>并给予答复。</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五、服务时限</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即办</w:t>
      </w:r>
    </w:p>
    <w:p>
      <w:pPr>
        <w:spacing w:line="600" w:lineRule="exact"/>
        <w:ind w:firstLine="640" w:firstLineChars="200"/>
        <w:contextualSpacing/>
        <w:rPr>
          <w:rFonts w:eastAsia="黑体"/>
          <w:color w:val="000000"/>
          <w:sz w:val="32"/>
          <w:szCs w:val="32"/>
        </w:rPr>
      </w:pPr>
      <w:r>
        <w:rPr>
          <w:rFonts w:hint="eastAsia" w:hAnsi="黑体" w:eastAsia="黑体" w:cs="黑体"/>
          <w:color w:val="000000"/>
          <w:sz w:val="32"/>
          <w:szCs w:val="32"/>
        </w:rPr>
        <w:t>六、收费依据及标准</w:t>
      </w:r>
    </w:p>
    <w:p>
      <w:pPr>
        <w:spacing w:line="600" w:lineRule="exact"/>
        <w:ind w:firstLine="640" w:firstLineChars="200"/>
        <w:contextualSpacing/>
        <w:rPr>
          <w:rFonts w:eastAsia="仿宋_GB2312"/>
          <w:color w:val="000000"/>
          <w:sz w:val="32"/>
          <w:szCs w:val="32"/>
        </w:rPr>
      </w:pPr>
      <w:r>
        <w:rPr>
          <w:rFonts w:hint="eastAsia" w:eastAsia="仿宋_GB2312"/>
          <w:color w:val="000000"/>
          <w:sz w:val="32"/>
          <w:szCs w:val="32"/>
        </w:rPr>
        <w:t>免费</w:t>
      </w:r>
    </w:p>
    <w:p>
      <w:pPr>
        <w:spacing w:line="600" w:lineRule="exact"/>
        <w:ind w:firstLine="640" w:firstLineChars="200"/>
        <w:rPr>
          <w:rFonts w:hAnsi="黑体" w:eastAsia="黑体" w:cs="黑体"/>
          <w:color w:val="000000"/>
          <w:sz w:val="32"/>
          <w:szCs w:val="32"/>
        </w:rPr>
      </w:pPr>
      <w:r>
        <w:rPr>
          <w:rFonts w:hint="eastAsia" w:hAnsi="黑体" w:eastAsia="黑体" w:cs="黑体"/>
          <w:color w:val="000000"/>
          <w:sz w:val="32"/>
          <w:szCs w:val="32"/>
        </w:rPr>
        <w:t>七</w:t>
      </w:r>
      <w:r>
        <w:rPr>
          <w:rFonts w:hAnsi="黑体" w:eastAsia="黑体" w:cs="黑体"/>
          <w:color w:val="000000"/>
          <w:sz w:val="32"/>
          <w:szCs w:val="32"/>
        </w:rPr>
        <w:t>、咨询方式</w:t>
      </w:r>
    </w:p>
    <w:p>
      <w:pPr>
        <w:spacing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联系电话</w:t>
      </w:r>
      <w:r>
        <w:rPr>
          <w:rFonts w:eastAsia="仿宋_GB2312"/>
          <w:color w:val="000000"/>
          <w:sz w:val="32"/>
          <w:szCs w:val="32"/>
        </w:rPr>
        <w:t>：05</w:t>
      </w:r>
      <w:r>
        <w:rPr>
          <w:rFonts w:hint="eastAsia" w:eastAsia="仿宋_GB2312"/>
          <w:color w:val="000000"/>
          <w:sz w:val="32"/>
          <w:szCs w:val="32"/>
          <w:lang w:val="en-US" w:eastAsia="zh-CN"/>
        </w:rPr>
        <w:t>64-3378332</w:t>
      </w:r>
    </w:p>
    <w:p>
      <w:pPr>
        <w:widowControl/>
        <w:wordWrap w:val="0"/>
        <w:jc w:val="center"/>
        <w:rPr>
          <w:rFonts w:hint="eastAsia" w:asciiTheme="minorEastAsia" w:hAnsiTheme="minorEastAsia" w:eastAsiaTheme="minorEastAsia" w:cstheme="minorEastAsia"/>
          <w:b/>
          <w:bCs w:val="0"/>
          <w:kern w:val="0"/>
          <w:sz w:val="44"/>
          <w:szCs w:val="44"/>
          <w:lang w:eastAsia="zh-CN"/>
        </w:rPr>
      </w:pPr>
    </w:p>
    <w:p>
      <w:pPr>
        <w:widowControl/>
        <w:wordWrap w:val="0"/>
        <w:jc w:val="center"/>
        <w:rPr>
          <w:rFonts w:hint="eastAsia" w:asciiTheme="minorEastAsia" w:hAnsiTheme="minorEastAsia" w:eastAsiaTheme="minorEastAsia" w:cstheme="minorEastAsia"/>
          <w:b/>
          <w:bCs w:val="0"/>
          <w:kern w:val="0"/>
          <w:sz w:val="44"/>
          <w:szCs w:val="44"/>
          <w:lang w:eastAsia="zh-CN"/>
        </w:rPr>
      </w:pPr>
    </w:p>
    <w:p>
      <w:pPr>
        <w:widowControl/>
        <w:wordWrap w:val="0"/>
        <w:jc w:val="center"/>
        <w:rPr>
          <w:rFonts w:hint="eastAsia" w:asciiTheme="minorEastAsia" w:hAnsiTheme="minorEastAsia" w:eastAsiaTheme="minorEastAsia" w:cstheme="minorEastAsia"/>
          <w:b/>
          <w:bCs w:val="0"/>
          <w:kern w:val="0"/>
          <w:sz w:val="44"/>
          <w:szCs w:val="44"/>
        </w:rPr>
      </w:pPr>
      <w:r>
        <w:rPr>
          <w:rFonts w:hint="eastAsia" w:asciiTheme="minorEastAsia" w:hAnsiTheme="minorEastAsia" w:eastAsiaTheme="minorEastAsia" w:cstheme="minorEastAsia"/>
          <w:b/>
          <w:bCs w:val="0"/>
          <w:kern w:val="0"/>
          <w:sz w:val="44"/>
          <w:szCs w:val="44"/>
          <w:lang w:eastAsia="zh-CN"/>
        </w:rPr>
        <w:t>地震科普教育体验</w:t>
      </w:r>
      <w:r>
        <w:rPr>
          <w:rFonts w:hint="eastAsia" w:asciiTheme="minorEastAsia" w:hAnsiTheme="minorEastAsia" w:eastAsiaTheme="minorEastAsia" w:cstheme="minorEastAsia"/>
          <w:b/>
          <w:bCs w:val="0"/>
          <w:kern w:val="0"/>
          <w:sz w:val="44"/>
          <w:szCs w:val="44"/>
        </w:rPr>
        <w:t>服务指南</w:t>
      </w:r>
    </w:p>
    <w:p>
      <w:pPr>
        <w:widowControl/>
        <w:wordWrap w:val="0"/>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一、办理依据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六安市发展和改革委员会关于六安市地震科普馆装潢及设备模型布置项目的意见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（六发改审批〔201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付新安副市长批示，原则同意，纳入投资计划，抓紧推进。</w:t>
      </w:r>
    </w:p>
    <w:p>
      <w:pPr>
        <w:spacing w:line="600" w:lineRule="exact"/>
        <w:ind w:firstLine="640" w:firstLineChars="200"/>
        <w:rPr>
          <w:rFonts w:hint="eastAsia" w:ascii="黑体" w:hAnsi="黑体" w:eastAsia="黑体" w:cs="黑体"/>
          <w:bCs/>
          <w:kern w:val="0"/>
          <w:sz w:val="32"/>
          <w:szCs w:val="32"/>
        </w:rPr>
      </w:pPr>
      <w:r>
        <w:rPr>
          <w:rFonts w:hint="eastAsia" w:ascii="黑体" w:hAnsi="黑体" w:eastAsia="黑体" w:cs="黑体"/>
          <w:sz w:val="32"/>
          <w:szCs w:val="32"/>
        </w:rPr>
        <w:t>二、</w:t>
      </w:r>
      <w:r>
        <w:rPr>
          <w:rFonts w:hint="eastAsia" w:ascii="黑体" w:hAnsi="黑体" w:eastAsia="黑体" w:cs="黑体"/>
          <w:bCs/>
          <w:kern w:val="0"/>
          <w:sz w:val="32"/>
          <w:szCs w:val="32"/>
        </w:rPr>
        <w:t>承办机构</w:t>
      </w:r>
    </w:p>
    <w:p>
      <w:pPr>
        <w:widowControl/>
        <w:wordWrap w:val="0"/>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六安市地震局办公室</w:t>
      </w:r>
    </w:p>
    <w:p>
      <w:pPr>
        <w:widowControl/>
        <w:numPr>
          <w:ilvl w:val="0"/>
          <w:numId w:val="0"/>
        </w:numPr>
        <w:wordWrap w:val="0"/>
        <w:jc w:val="left"/>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 xml:space="preserve">    </w:t>
      </w:r>
      <w:r>
        <w:rPr>
          <w:rFonts w:hint="eastAsia" w:ascii="黑体" w:hAnsi="黑体" w:eastAsia="黑体" w:cs="黑体"/>
          <w:bCs/>
          <w:kern w:val="0"/>
          <w:sz w:val="32"/>
          <w:szCs w:val="32"/>
          <w:lang w:eastAsia="zh-CN"/>
        </w:rPr>
        <w:t>三、</w:t>
      </w:r>
      <w:r>
        <w:rPr>
          <w:rFonts w:hint="eastAsia" w:ascii="黑体" w:hAnsi="黑体" w:eastAsia="黑体" w:cs="黑体"/>
          <w:bCs/>
          <w:kern w:val="0"/>
          <w:sz w:val="32"/>
          <w:szCs w:val="32"/>
        </w:rPr>
        <w:t>服务对象</w:t>
      </w:r>
    </w:p>
    <w:p>
      <w:pPr>
        <w:spacing w:line="600" w:lineRule="exact"/>
        <w:ind w:firstLine="420" w:firstLineChars="200"/>
        <w:contextualSpacing/>
        <w:rPr>
          <w:rFonts w:eastAsia="仿宋_GB2312"/>
          <w:color w:val="000000"/>
          <w:sz w:val="32"/>
          <w:szCs w:val="32"/>
        </w:rPr>
      </w:pPr>
      <w:r>
        <w:rPr>
          <w:rFonts w:hint="eastAsia"/>
        </w:rPr>
        <w:t xml:space="preserve">    </w:t>
      </w:r>
      <w:r>
        <w:rPr>
          <w:rFonts w:hint="eastAsia" w:eastAsia="仿宋_GB2312"/>
          <w:color w:val="000000"/>
          <w:sz w:val="32"/>
          <w:szCs w:val="32"/>
        </w:rPr>
        <w:t>个人（公民）、法人、社会组织</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lang w:eastAsia="zh-CN"/>
        </w:rPr>
        <w:t>四</w:t>
      </w:r>
      <w:r>
        <w:rPr>
          <w:rFonts w:ascii="黑体" w:hAnsi="黑体" w:eastAsia="黑体"/>
          <w:color w:val="000000"/>
          <w:sz w:val="32"/>
          <w:szCs w:val="32"/>
        </w:rPr>
        <w:t>、服务流程</w:t>
      </w:r>
    </w:p>
    <w:p>
      <w:pPr>
        <w:spacing w:line="520" w:lineRule="exact"/>
        <w:ind w:firstLine="640"/>
        <w:rPr>
          <w:rFonts w:hint="eastAsia" w:ascii="仿宋_GB2312" w:eastAsia="仿宋_GB2312"/>
          <w:sz w:val="32"/>
          <w:szCs w:val="32"/>
          <w:lang w:eastAsia="zh-CN"/>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lang w:eastAsia="zh-CN"/>
        </w:rPr>
        <w:t>申请或邀请参观体验六安市地震科普馆。</w:t>
      </w:r>
    </w:p>
    <w:p>
      <w:pPr>
        <w:widowControl/>
        <w:wordWrap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2.安排相应时间参观并给予解说。</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w:t>
      </w:r>
      <w:r>
        <w:rPr>
          <w:rFonts w:hint="eastAsia" w:ascii="黑体" w:hAnsi="黑体" w:eastAsia="黑体"/>
          <w:color w:val="000000"/>
          <w:sz w:val="32"/>
          <w:szCs w:val="32"/>
          <w:lang w:eastAsia="zh-CN"/>
        </w:rPr>
        <w:t>服务</w:t>
      </w:r>
      <w:r>
        <w:rPr>
          <w:rFonts w:hint="eastAsia" w:ascii="黑体" w:hAnsi="黑体" w:eastAsia="黑体"/>
          <w:color w:val="000000"/>
          <w:sz w:val="32"/>
          <w:szCs w:val="32"/>
        </w:rPr>
        <w:t>时限</w:t>
      </w:r>
    </w:p>
    <w:p>
      <w:pPr>
        <w:spacing w:line="580" w:lineRule="exact"/>
        <w:ind w:firstLine="640" w:firstLineChars="200"/>
        <w:rPr>
          <w:rFonts w:hint="eastAsia" w:ascii="仿宋_GB2312" w:eastAsia="仿宋_GB2312"/>
          <w:color w:val="000000"/>
          <w:sz w:val="32"/>
          <w:szCs w:val="32"/>
        </w:rPr>
      </w:pPr>
      <w:r>
        <w:rPr>
          <w:rFonts w:hint="eastAsia" w:ascii="仿宋_GB2312" w:hAnsi="Times New Roman" w:eastAsia="仿宋_GB2312"/>
          <w:sz w:val="32"/>
          <w:szCs w:val="32"/>
        </w:rPr>
        <w:t>根据工作实际情况开展</w:t>
      </w:r>
      <w:r>
        <w:rPr>
          <w:rFonts w:ascii="仿宋_GB2312" w:eastAsia="仿宋_GB2312"/>
          <w:color w:val="000000"/>
          <w:sz w:val="32"/>
          <w:szCs w:val="32"/>
        </w:rPr>
        <w:t>确定</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六</w:t>
      </w:r>
      <w:r>
        <w:rPr>
          <w:rFonts w:hint="eastAsia" w:ascii="黑体" w:hAnsi="黑体" w:eastAsia="黑体"/>
          <w:color w:val="000000"/>
          <w:sz w:val="32"/>
          <w:szCs w:val="32"/>
        </w:rPr>
        <w:t>、收费依据及标准</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无</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七</w:t>
      </w:r>
      <w:r>
        <w:rPr>
          <w:rFonts w:hint="eastAsia" w:ascii="黑体" w:hAnsi="黑体" w:eastAsia="黑体"/>
          <w:color w:val="000000"/>
          <w:sz w:val="32"/>
          <w:szCs w:val="32"/>
        </w:rPr>
        <w:t>、咨询方式</w:t>
      </w:r>
    </w:p>
    <w:p>
      <w:pPr>
        <w:spacing w:line="580" w:lineRule="exact"/>
        <w:ind w:firstLine="640" w:firstLineChars="200"/>
        <w:rPr>
          <w:rFonts w:hint="default" w:ascii="仿宋_GB2312" w:hAnsi="宋体" w:eastAsia="仿宋_GB2312"/>
          <w:sz w:val="32"/>
          <w:szCs w:val="32"/>
          <w:lang w:val="en-US"/>
        </w:rPr>
      </w:pPr>
      <w:r>
        <w:rPr>
          <w:rFonts w:hint="eastAsia" w:ascii="仿宋_GB2312" w:eastAsia="仿宋_GB2312"/>
          <w:color w:val="000000"/>
          <w:sz w:val="32"/>
          <w:szCs w:val="32"/>
          <w:lang w:eastAsia="zh-CN"/>
        </w:rPr>
        <w:t>联系</w:t>
      </w:r>
      <w:r>
        <w:rPr>
          <w:rFonts w:hint="eastAsia" w:ascii="仿宋_GB2312" w:eastAsia="仿宋_GB2312"/>
          <w:color w:val="000000"/>
          <w:sz w:val="32"/>
          <w:szCs w:val="32"/>
        </w:rPr>
        <w:t>电话：05</w:t>
      </w:r>
      <w:r>
        <w:rPr>
          <w:rFonts w:hint="eastAsia" w:ascii="仿宋_GB2312" w:eastAsia="仿宋_GB2312"/>
          <w:color w:val="000000"/>
          <w:sz w:val="32"/>
          <w:szCs w:val="32"/>
          <w:lang w:val="en-US" w:eastAsia="zh-CN"/>
        </w:rPr>
        <w:t>64-3379343</w:t>
      </w:r>
    </w:p>
    <w:p>
      <w:pPr>
        <w:ind w:firstLine="640" w:firstLineChars="200"/>
        <w:rPr>
          <w:rFonts w:hint="default" w:eastAsia="仿宋_GB2312"/>
          <w:color w:val="000000"/>
          <w:sz w:val="32"/>
          <w:szCs w:val="32"/>
          <w:lang w:val="en-US" w:eastAsia="zh-CN"/>
        </w:rPr>
      </w:pPr>
    </w:p>
    <w:sectPr>
      <w:footerReference r:id="rId3" w:type="default"/>
      <w:footerReference r:id="rId4" w:type="even"/>
      <w:pgSz w:w="11906" w:h="16838"/>
      <w:pgMar w:top="1871" w:right="1503" w:bottom="1588" w:left="15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13</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DF"/>
    <w:rsid w:val="00001AD2"/>
    <w:rsid w:val="00006660"/>
    <w:rsid w:val="00007903"/>
    <w:rsid w:val="000137D7"/>
    <w:rsid w:val="00014F56"/>
    <w:rsid w:val="00015B9B"/>
    <w:rsid w:val="00016E33"/>
    <w:rsid w:val="00020454"/>
    <w:rsid w:val="000246F0"/>
    <w:rsid w:val="00025BC6"/>
    <w:rsid w:val="000279D8"/>
    <w:rsid w:val="000333C8"/>
    <w:rsid w:val="0003603E"/>
    <w:rsid w:val="00044F97"/>
    <w:rsid w:val="0005153D"/>
    <w:rsid w:val="000662D4"/>
    <w:rsid w:val="00073EA6"/>
    <w:rsid w:val="00074E46"/>
    <w:rsid w:val="00085B92"/>
    <w:rsid w:val="00090BDF"/>
    <w:rsid w:val="000A11C1"/>
    <w:rsid w:val="000B0D66"/>
    <w:rsid w:val="000B168F"/>
    <w:rsid w:val="000C3262"/>
    <w:rsid w:val="000C3D0D"/>
    <w:rsid w:val="000C439C"/>
    <w:rsid w:val="000C5D11"/>
    <w:rsid w:val="000C5F0F"/>
    <w:rsid w:val="000D695D"/>
    <w:rsid w:val="000E0531"/>
    <w:rsid w:val="000E1B79"/>
    <w:rsid w:val="000E1E13"/>
    <w:rsid w:val="000E2AB1"/>
    <w:rsid w:val="000E6A57"/>
    <w:rsid w:val="000F10E2"/>
    <w:rsid w:val="000F1CA1"/>
    <w:rsid w:val="000F27CA"/>
    <w:rsid w:val="000F2FAD"/>
    <w:rsid w:val="000F55CC"/>
    <w:rsid w:val="001059BE"/>
    <w:rsid w:val="001076DB"/>
    <w:rsid w:val="00110860"/>
    <w:rsid w:val="0011676A"/>
    <w:rsid w:val="00116EF5"/>
    <w:rsid w:val="00117B0A"/>
    <w:rsid w:val="00123CA4"/>
    <w:rsid w:val="00131455"/>
    <w:rsid w:val="00132464"/>
    <w:rsid w:val="00135F25"/>
    <w:rsid w:val="00141003"/>
    <w:rsid w:val="0014277A"/>
    <w:rsid w:val="001512B4"/>
    <w:rsid w:val="001562BB"/>
    <w:rsid w:val="00160002"/>
    <w:rsid w:val="00162D33"/>
    <w:rsid w:val="00162E74"/>
    <w:rsid w:val="001706B0"/>
    <w:rsid w:val="00170C69"/>
    <w:rsid w:val="00174754"/>
    <w:rsid w:val="001761DF"/>
    <w:rsid w:val="00190043"/>
    <w:rsid w:val="00194988"/>
    <w:rsid w:val="00194FC3"/>
    <w:rsid w:val="001A227A"/>
    <w:rsid w:val="001A2E00"/>
    <w:rsid w:val="001A4256"/>
    <w:rsid w:val="001B2F16"/>
    <w:rsid w:val="001B360B"/>
    <w:rsid w:val="001B3D01"/>
    <w:rsid w:val="001C0875"/>
    <w:rsid w:val="001C6A39"/>
    <w:rsid w:val="001D1B9C"/>
    <w:rsid w:val="001D712E"/>
    <w:rsid w:val="001F1F8A"/>
    <w:rsid w:val="001F2534"/>
    <w:rsid w:val="001F59BE"/>
    <w:rsid w:val="002044E6"/>
    <w:rsid w:val="00217051"/>
    <w:rsid w:val="0022599A"/>
    <w:rsid w:val="002276BA"/>
    <w:rsid w:val="0024531C"/>
    <w:rsid w:val="00246879"/>
    <w:rsid w:val="00255632"/>
    <w:rsid w:val="002571DD"/>
    <w:rsid w:val="00265521"/>
    <w:rsid w:val="002670D5"/>
    <w:rsid w:val="00271249"/>
    <w:rsid w:val="00271FCD"/>
    <w:rsid w:val="0027786B"/>
    <w:rsid w:val="00283FFB"/>
    <w:rsid w:val="002866C1"/>
    <w:rsid w:val="00292BDA"/>
    <w:rsid w:val="00295A62"/>
    <w:rsid w:val="002A2696"/>
    <w:rsid w:val="002A47DB"/>
    <w:rsid w:val="002A6550"/>
    <w:rsid w:val="002B3548"/>
    <w:rsid w:val="002B499C"/>
    <w:rsid w:val="002B62BD"/>
    <w:rsid w:val="002C26AF"/>
    <w:rsid w:val="002C7733"/>
    <w:rsid w:val="002D0785"/>
    <w:rsid w:val="002D4944"/>
    <w:rsid w:val="002E4C85"/>
    <w:rsid w:val="00320801"/>
    <w:rsid w:val="003221B8"/>
    <w:rsid w:val="00335966"/>
    <w:rsid w:val="00341838"/>
    <w:rsid w:val="0034440E"/>
    <w:rsid w:val="00355893"/>
    <w:rsid w:val="0035680E"/>
    <w:rsid w:val="00356A39"/>
    <w:rsid w:val="003573C8"/>
    <w:rsid w:val="00360E5F"/>
    <w:rsid w:val="003627AC"/>
    <w:rsid w:val="00365FE7"/>
    <w:rsid w:val="00370056"/>
    <w:rsid w:val="00373192"/>
    <w:rsid w:val="00376665"/>
    <w:rsid w:val="00384D99"/>
    <w:rsid w:val="003860EE"/>
    <w:rsid w:val="00391094"/>
    <w:rsid w:val="003A1139"/>
    <w:rsid w:val="003A1996"/>
    <w:rsid w:val="003A1C26"/>
    <w:rsid w:val="003B3A85"/>
    <w:rsid w:val="003B776B"/>
    <w:rsid w:val="003C1CDA"/>
    <w:rsid w:val="003D12B5"/>
    <w:rsid w:val="003D5488"/>
    <w:rsid w:val="003E03DE"/>
    <w:rsid w:val="003E30D0"/>
    <w:rsid w:val="003E7786"/>
    <w:rsid w:val="003F4E04"/>
    <w:rsid w:val="003F5B01"/>
    <w:rsid w:val="003F7DB2"/>
    <w:rsid w:val="004020BF"/>
    <w:rsid w:val="00404D36"/>
    <w:rsid w:val="004064CB"/>
    <w:rsid w:val="004260A4"/>
    <w:rsid w:val="004314F6"/>
    <w:rsid w:val="00431621"/>
    <w:rsid w:val="0044497A"/>
    <w:rsid w:val="00452E25"/>
    <w:rsid w:val="00454BAD"/>
    <w:rsid w:val="00456247"/>
    <w:rsid w:val="0045783C"/>
    <w:rsid w:val="004615A1"/>
    <w:rsid w:val="00467D90"/>
    <w:rsid w:val="00470515"/>
    <w:rsid w:val="00486D42"/>
    <w:rsid w:val="004879A4"/>
    <w:rsid w:val="004940C9"/>
    <w:rsid w:val="0049657F"/>
    <w:rsid w:val="004A3C9F"/>
    <w:rsid w:val="004A66BB"/>
    <w:rsid w:val="004B0ADD"/>
    <w:rsid w:val="004B117C"/>
    <w:rsid w:val="004B377F"/>
    <w:rsid w:val="004C11F6"/>
    <w:rsid w:val="004C7711"/>
    <w:rsid w:val="004D2B70"/>
    <w:rsid w:val="004D673D"/>
    <w:rsid w:val="004E7F4A"/>
    <w:rsid w:val="004F0759"/>
    <w:rsid w:val="0050485B"/>
    <w:rsid w:val="00504F2E"/>
    <w:rsid w:val="0051172A"/>
    <w:rsid w:val="00516473"/>
    <w:rsid w:val="00520B2B"/>
    <w:rsid w:val="005213D9"/>
    <w:rsid w:val="00535491"/>
    <w:rsid w:val="005367C4"/>
    <w:rsid w:val="00537619"/>
    <w:rsid w:val="005414B9"/>
    <w:rsid w:val="005416A6"/>
    <w:rsid w:val="00542258"/>
    <w:rsid w:val="0054252D"/>
    <w:rsid w:val="00560B08"/>
    <w:rsid w:val="005653BC"/>
    <w:rsid w:val="005660B0"/>
    <w:rsid w:val="005702D1"/>
    <w:rsid w:val="00573108"/>
    <w:rsid w:val="0057614B"/>
    <w:rsid w:val="00576280"/>
    <w:rsid w:val="00577F9A"/>
    <w:rsid w:val="00582E78"/>
    <w:rsid w:val="00586FCE"/>
    <w:rsid w:val="00592C08"/>
    <w:rsid w:val="00596655"/>
    <w:rsid w:val="00596E8C"/>
    <w:rsid w:val="00596EA0"/>
    <w:rsid w:val="005A0B97"/>
    <w:rsid w:val="005B4916"/>
    <w:rsid w:val="005B5BE9"/>
    <w:rsid w:val="005B63B3"/>
    <w:rsid w:val="005C1344"/>
    <w:rsid w:val="005C6072"/>
    <w:rsid w:val="005D4441"/>
    <w:rsid w:val="005D4478"/>
    <w:rsid w:val="005D4A7B"/>
    <w:rsid w:val="005D681A"/>
    <w:rsid w:val="005E4D0F"/>
    <w:rsid w:val="005E547E"/>
    <w:rsid w:val="005F3E69"/>
    <w:rsid w:val="005F3F2C"/>
    <w:rsid w:val="005F44AD"/>
    <w:rsid w:val="00600B21"/>
    <w:rsid w:val="006029A6"/>
    <w:rsid w:val="0060631F"/>
    <w:rsid w:val="00611A13"/>
    <w:rsid w:val="006159E5"/>
    <w:rsid w:val="00623730"/>
    <w:rsid w:val="00623C9B"/>
    <w:rsid w:val="0062721B"/>
    <w:rsid w:val="0063383B"/>
    <w:rsid w:val="0063674D"/>
    <w:rsid w:val="00642FAA"/>
    <w:rsid w:val="00650319"/>
    <w:rsid w:val="00653E90"/>
    <w:rsid w:val="00654B00"/>
    <w:rsid w:val="00654B09"/>
    <w:rsid w:val="00656065"/>
    <w:rsid w:val="006702B2"/>
    <w:rsid w:val="00670D58"/>
    <w:rsid w:val="006747DB"/>
    <w:rsid w:val="00680019"/>
    <w:rsid w:val="00681861"/>
    <w:rsid w:val="00681B54"/>
    <w:rsid w:val="00696007"/>
    <w:rsid w:val="0069658F"/>
    <w:rsid w:val="006A11EA"/>
    <w:rsid w:val="006A32D9"/>
    <w:rsid w:val="006A750A"/>
    <w:rsid w:val="006B0D49"/>
    <w:rsid w:val="006B33B1"/>
    <w:rsid w:val="006B7D97"/>
    <w:rsid w:val="006C44C6"/>
    <w:rsid w:val="006D3295"/>
    <w:rsid w:val="006E65FC"/>
    <w:rsid w:val="006E6843"/>
    <w:rsid w:val="006F28B3"/>
    <w:rsid w:val="006F33A6"/>
    <w:rsid w:val="006F4682"/>
    <w:rsid w:val="006F5C97"/>
    <w:rsid w:val="0070203D"/>
    <w:rsid w:val="007029DA"/>
    <w:rsid w:val="00711964"/>
    <w:rsid w:val="00713E17"/>
    <w:rsid w:val="00717748"/>
    <w:rsid w:val="00732F0D"/>
    <w:rsid w:val="0073464B"/>
    <w:rsid w:val="00737F8F"/>
    <w:rsid w:val="007400C5"/>
    <w:rsid w:val="00743538"/>
    <w:rsid w:val="00744842"/>
    <w:rsid w:val="00746FD3"/>
    <w:rsid w:val="00750014"/>
    <w:rsid w:val="0075510E"/>
    <w:rsid w:val="0078366B"/>
    <w:rsid w:val="007957AD"/>
    <w:rsid w:val="00796127"/>
    <w:rsid w:val="00796380"/>
    <w:rsid w:val="007A2137"/>
    <w:rsid w:val="007B5B40"/>
    <w:rsid w:val="007B67E9"/>
    <w:rsid w:val="007C0952"/>
    <w:rsid w:val="007D3E41"/>
    <w:rsid w:val="007E0702"/>
    <w:rsid w:val="007E700F"/>
    <w:rsid w:val="007F1C0D"/>
    <w:rsid w:val="007F4812"/>
    <w:rsid w:val="007F4EC7"/>
    <w:rsid w:val="007F5277"/>
    <w:rsid w:val="008066C9"/>
    <w:rsid w:val="008208E3"/>
    <w:rsid w:val="008352F1"/>
    <w:rsid w:val="0084050F"/>
    <w:rsid w:val="008465F7"/>
    <w:rsid w:val="00846F40"/>
    <w:rsid w:val="0085069D"/>
    <w:rsid w:val="00857A6B"/>
    <w:rsid w:val="0086035D"/>
    <w:rsid w:val="00860EAA"/>
    <w:rsid w:val="00861561"/>
    <w:rsid w:val="00863DBB"/>
    <w:rsid w:val="0087288B"/>
    <w:rsid w:val="00873C0D"/>
    <w:rsid w:val="00876D22"/>
    <w:rsid w:val="00882CFF"/>
    <w:rsid w:val="00884941"/>
    <w:rsid w:val="008855EC"/>
    <w:rsid w:val="008928AE"/>
    <w:rsid w:val="008939C7"/>
    <w:rsid w:val="00895008"/>
    <w:rsid w:val="00897637"/>
    <w:rsid w:val="00897A15"/>
    <w:rsid w:val="008A545B"/>
    <w:rsid w:val="008A5C52"/>
    <w:rsid w:val="008B1336"/>
    <w:rsid w:val="008B1FE7"/>
    <w:rsid w:val="008B2672"/>
    <w:rsid w:val="008C1F80"/>
    <w:rsid w:val="008C2EE3"/>
    <w:rsid w:val="008C3A5A"/>
    <w:rsid w:val="008D4941"/>
    <w:rsid w:val="008D7A59"/>
    <w:rsid w:val="008E26B2"/>
    <w:rsid w:val="008F34FA"/>
    <w:rsid w:val="008F6017"/>
    <w:rsid w:val="008F66FB"/>
    <w:rsid w:val="00906400"/>
    <w:rsid w:val="009107A1"/>
    <w:rsid w:val="00911C96"/>
    <w:rsid w:val="00913373"/>
    <w:rsid w:val="00921185"/>
    <w:rsid w:val="0092183A"/>
    <w:rsid w:val="00926118"/>
    <w:rsid w:val="009269E0"/>
    <w:rsid w:val="00926ACD"/>
    <w:rsid w:val="00926D36"/>
    <w:rsid w:val="009311E4"/>
    <w:rsid w:val="00933381"/>
    <w:rsid w:val="00936AA0"/>
    <w:rsid w:val="0094495F"/>
    <w:rsid w:val="0095272B"/>
    <w:rsid w:val="00960C20"/>
    <w:rsid w:val="00962D4F"/>
    <w:rsid w:val="00963D59"/>
    <w:rsid w:val="0097112A"/>
    <w:rsid w:val="0098204B"/>
    <w:rsid w:val="00982BCE"/>
    <w:rsid w:val="00986C3C"/>
    <w:rsid w:val="009978F7"/>
    <w:rsid w:val="00997989"/>
    <w:rsid w:val="009A0A93"/>
    <w:rsid w:val="009A0F1B"/>
    <w:rsid w:val="009A4665"/>
    <w:rsid w:val="009A4836"/>
    <w:rsid w:val="009A640C"/>
    <w:rsid w:val="009B796C"/>
    <w:rsid w:val="009C00D2"/>
    <w:rsid w:val="009C3429"/>
    <w:rsid w:val="009D1956"/>
    <w:rsid w:val="009D3F68"/>
    <w:rsid w:val="009E46BB"/>
    <w:rsid w:val="009E56F8"/>
    <w:rsid w:val="009E5A8C"/>
    <w:rsid w:val="009F2008"/>
    <w:rsid w:val="009F2CAE"/>
    <w:rsid w:val="00A03F27"/>
    <w:rsid w:val="00A06435"/>
    <w:rsid w:val="00A21875"/>
    <w:rsid w:val="00A241A3"/>
    <w:rsid w:val="00A2782F"/>
    <w:rsid w:val="00A338B2"/>
    <w:rsid w:val="00A36D3F"/>
    <w:rsid w:val="00A36D95"/>
    <w:rsid w:val="00A43A35"/>
    <w:rsid w:val="00A43E5F"/>
    <w:rsid w:val="00A449AB"/>
    <w:rsid w:val="00A604DF"/>
    <w:rsid w:val="00A72175"/>
    <w:rsid w:val="00A90C61"/>
    <w:rsid w:val="00A94E14"/>
    <w:rsid w:val="00A95505"/>
    <w:rsid w:val="00A976E0"/>
    <w:rsid w:val="00AA6A66"/>
    <w:rsid w:val="00AA6E8E"/>
    <w:rsid w:val="00AB13E1"/>
    <w:rsid w:val="00AB26AD"/>
    <w:rsid w:val="00AB65B4"/>
    <w:rsid w:val="00AD57B4"/>
    <w:rsid w:val="00AD5AC6"/>
    <w:rsid w:val="00AD61B3"/>
    <w:rsid w:val="00AE70AA"/>
    <w:rsid w:val="00AF2347"/>
    <w:rsid w:val="00AF36E5"/>
    <w:rsid w:val="00B04338"/>
    <w:rsid w:val="00B061BB"/>
    <w:rsid w:val="00B06F62"/>
    <w:rsid w:val="00B173C4"/>
    <w:rsid w:val="00B217E4"/>
    <w:rsid w:val="00B2247C"/>
    <w:rsid w:val="00B31136"/>
    <w:rsid w:val="00B37F8F"/>
    <w:rsid w:val="00B40206"/>
    <w:rsid w:val="00B45513"/>
    <w:rsid w:val="00B46438"/>
    <w:rsid w:val="00B567F2"/>
    <w:rsid w:val="00B72FBE"/>
    <w:rsid w:val="00B736C8"/>
    <w:rsid w:val="00B75763"/>
    <w:rsid w:val="00B76EC3"/>
    <w:rsid w:val="00B80301"/>
    <w:rsid w:val="00B84A21"/>
    <w:rsid w:val="00B865C3"/>
    <w:rsid w:val="00B92150"/>
    <w:rsid w:val="00B93F0F"/>
    <w:rsid w:val="00BA49D0"/>
    <w:rsid w:val="00BA6909"/>
    <w:rsid w:val="00BB0A37"/>
    <w:rsid w:val="00BC151A"/>
    <w:rsid w:val="00BC35F3"/>
    <w:rsid w:val="00BD66D9"/>
    <w:rsid w:val="00BD721F"/>
    <w:rsid w:val="00BD72A0"/>
    <w:rsid w:val="00BD76AB"/>
    <w:rsid w:val="00BE0751"/>
    <w:rsid w:val="00BE3CE3"/>
    <w:rsid w:val="00BF007E"/>
    <w:rsid w:val="00BF31C5"/>
    <w:rsid w:val="00BF47D8"/>
    <w:rsid w:val="00BF4FCE"/>
    <w:rsid w:val="00BF59CB"/>
    <w:rsid w:val="00BF68FB"/>
    <w:rsid w:val="00C021B8"/>
    <w:rsid w:val="00C047D6"/>
    <w:rsid w:val="00C04AF6"/>
    <w:rsid w:val="00C04FDF"/>
    <w:rsid w:val="00C05E24"/>
    <w:rsid w:val="00C1094B"/>
    <w:rsid w:val="00C148CC"/>
    <w:rsid w:val="00C218FF"/>
    <w:rsid w:val="00C243C8"/>
    <w:rsid w:val="00C3258E"/>
    <w:rsid w:val="00C3363B"/>
    <w:rsid w:val="00C36A52"/>
    <w:rsid w:val="00C474A6"/>
    <w:rsid w:val="00C50BD5"/>
    <w:rsid w:val="00C51883"/>
    <w:rsid w:val="00C663C2"/>
    <w:rsid w:val="00C74F0E"/>
    <w:rsid w:val="00C75083"/>
    <w:rsid w:val="00C90C7E"/>
    <w:rsid w:val="00C9463A"/>
    <w:rsid w:val="00C95572"/>
    <w:rsid w:val="00CA3401"/>
    <w:rsid w:val="00CA63D6"/>
    <w:rsid w:val="00CB1CC4"/>
    <w:rsid w:val="00CB57CD"/>
    <w:rsid w:val="00CB5BDC"/>
    <w:rsid w:val="00CB6FE4"/>
    <w:rsid w:val="00CC4B05"/>
    <w:rsid w:val="00CD2113"/>
    <w:rsid w:val="00CD2F0F"/>
    <w:rsid w:val="00CD4718"/>
    <w:rsid w:val="00CD50AE"/>
    <w:rsid w:val="00CE1475"/>
    <w:rsid w:val="00CE276D"/>
    <w:rsid w:val="00D01069"/>
    <w:rsid w:val="00D02C93"/>
    <w:rsid w:val="00D062C0"/>
    <w:rsid w:val="00D131FF"/>
    <w:rsid w:val="00D139F0"/>
    <w:rsid w:val="00D208EB"/>
    <w:rsid w:val="00D330D7"/>
    <w:rsid w:val="00D42472"/>
    <w:rsid w:val="00D443E9"/>
    <w:rsid w:val="00D464C9"/>
    <w:rsid w:val="00D500C0"/>
    <w:rsid w:val="00D621EB"/>
    <w:rsid w:val="00D62422"/>
    <w:rsid w:val="00D62A85"/>
    <w:rsid w:val="00D6729C"/>
    <w:rsid w:val="00D675A2"/>
    <w:rsid w:val="00D733FE"/>
    <w:rsid w:val="00D740E3"/>
    <w:rsid w:val="00D85591"/>
    <w:rsid w:val="00D85CC7"/>
    <w:rsid w:val="00D862D5"/>
    <w:rsid w:val="00D97081"/>
    <w:rsid w:val="00DA012A"/>
    <w:rsid w:val="00DA0830"/>
    <w:rsid w:val="00DA2136"/>
    <w:rsid w:val="00DA64E9"/>
    <w:rsid w:val="00DB0876"/>
    <w:rsid w:val="00DB33E8"/>
    <w:rsid w:val="00DB396D"/>
    <w:rsid w:val="00DB4AF2"/>
    <w:rsid w:val="00DC6C3E"/>
    <w:rsid w:val="00DC7CF9"/>
    <w:rsid w:val="00DD5470"/>
    <w:rsid w:val="00DD69B8"/>
    <w:rsid w:val="00DE0B7A"/>
    <w:rsid w:val="00DE2991"/>
    <w:rsid w:val="00DE41BE"/>
    <w:rsid w:val="00DF3B73"/>
    <w:rsid w:val="00DF717A"/>
    <w:rsid w:val="00E01CAC"/>
    <w:rsid w:val="00E06A15"/>
    <w:rsid w:val="00E17F9C"/>
    <w:rsid w:val="00E206DE"/>
    <w:rsid w:val="00E23B79"/>
    <w:rsid w:val="00E35FC9"/>
    <w:rsid w:val="00E4080F"/>
    <w:rsid w:val="00E53168"/>
    <w:rsid w:val="00E5463A"/>
    <w:rsid w:val="00E546F8"/>
    <w:rsid w:val="00E55BA9"/>
    <w:rsid w:val="00E55C11"/>
    <w:rsid w:val="00E563F1"/>
    <w:rsid w:val="00E668E3"/>
    <w:rsid w:val="00E70906"/>
    <w:rsid w:val="00E71C14"/>
    <w:rsid w:val="00E763B1"/>
    <w:rsid w:val="00E7772C"/>
    <w:rsid w:val="00E7774C"/>
    <w:rsid w:val="00E80115"/>
    <w:rsid w:val="00E9437B"/>
    <w:rsid w:val="00EA2EE4"/>
    <w:rsid w:val="00EB0B41"/>
    <w:rsid w:val="00EB0C83"/>
    <w:rsid w:val="00EB7041"/>
    <w:rsid w:val="00EC488C"/>
    <w:rsid w:val="00EC5660"/>
    <w:rsid w:val="00ED79D8"/>
    <w:rsid w:val="00EE0EF8"/>
    <w:rsid w:val="00EF0F0F"/>
    <w:rsid w:val="00F01EED"/>
    <w:rsid w:val="00F12118"/>
    <w:rsid w:val="00F13986"/>
    <w:rsid w:val="00F20C9D"/>
    <w:rsid w:val="00F2192A"/>
    <w:rsid w:val="00F2425F"/>
    <w:rsid w:val="00F256D1"/>
    <w:rsid w:val="00F4043C"/>
    <w:rsid w:val="00F4075D"/>
    <w:rsid w:val="00F420D9"/>
    <w:rsid w:val="00F512F0"/>
    <w:rsid w:val="00F51FC4"/>
    <w:rsid w:val="00F57C3B"/>
    <w:rsid w:val="00F67A30"/>
    <w:rsid w:val="00F71723"/>
    <w:rsid w:val="00F7517D"/>
    <w:rsid w:val="00F8188E"/>
    <w:rsid w:val="00F8746C"/>
    <w:rsid w:val="00F94572"/>
    <w:rsid w:val="00FA155A"/>
    <w:rsid w:val="00FC1D6F"/>
    <w:rsid w:val="00FD0473"/>
    <w:rsid w:val="00FD0791"/>
    <w:rsid w:val="00FD3344"/>
    <w:rsid w:val="00FD5AD5"/>
    <w:rsid w:val="00FE0336"/>
    <w:rsid w:val="00FE13E2"/>
    <w:rsid w:val="00FE5404"/>
    <w:rsid w:val="00FF4B19"/>
    <w:rsid w:val="01616EF8"/>
    <w:rsid w:val="04026942"/>
    <w:rsid w:val="09A90981"/>
    <w:rsid w:val="10995B45"/>
    <w:rsid w:val="14F65556"/>
    <w:rsid w:val="180D2C18"/>
    <w:rsid w:val="1A5C50CB"/>
    <w:rsid w:val="1ADA6726"/>
    <w:rsid w:val="1D344221"/>
    <w:rsid w:val="1DB73391"/>
    <w:rsid w:val="1E957758"/>
    <w:rsid w:val="1EF00FF9"/>
    <w:rsid w:val="1EF57C77"/>
    <w:rsid w:val="1FB301F1"/>
    <w:rsid w:val="21363A08"/>
    <w:rsid w:val="22BC68EE"/>
    <w:rsid w:val="234D6293"/>
    <w:rsid w:val="23555135"/>
    <w:rsid w:val="242A4D43"/>
    <w:rsid w:val="262F1F9A"/>
    <w:rsid w:val="27DD4B01"/>
    <w:rsid w:val="289F424E"/>
    <w:rsid w:val="2B19130E"/>
    <w:rsid w:val="2CAE4991"/>
    <w:rsid w:val="2D066337"/>
    <w:rsid w:val="33D972D6"/>
    <w:rsid w:val="34E41C05"/>
    <w:rsid w:val="36DB235A"/>
    <w:rsid w:val="37182350"/>
    <w:rsid w:val="39324388"/>
    <w:rsid w:val="39695E13"/>
    <w:rsid w:val="39E1030D"/>
    <w:rsid w:val="3BB347FA"/>
    <w:rsid w:val="3D7205A4"/>
    <w:rsid w:val="3E5B5A9D"/>
    <w:rsid w:val="45206856"/>
    <w:rsid w:val="460B53F6"/>
    <w:rsid w:val="4710711A"/>
    <w:rsid w:val="48130B51"/>
    <w:rsid w:val="495E0D16"/>
    <w:rsid w:val="49C85781"/>
    <w:rsid w:val="4D2F3932"/>
    <w:rsid w:val="4EEB4BA3"/>
    <w:rsid w:val="52864047"/>
    <w:rsid w:val="533C36B6"/>
    <w:rsid w:val="53A0170B"/>
    <w:rsid w:val="5B272AB6"/>
    <w:rsid w:val="5BEC6452"/>
    <w:rsid w:val="5C0F1E74"/>
    <w:rsid w:val="610E5EC5"/>
    <w:rsid w:val="61E40AE7"/>
    <w:rsid w:val="62B23D87"/>
    <w:rsid w:val="66B91BCE"/>
    <w:rsid w:val="67460952"/>
    <w:rsid w:val="69120BBC"/>
    <w:rsid w:val="6B4676CE"/>
    <w:rsid w:val="6B782334"/>
    <w:rsid w:val="6CF943D6"/>
    <w:rsid w:val="70DC1449"/>
    <w:rsid w:val="744A7654"/>
    <w:rsid w:val="76104E07"/>
    <w:rsid w:val="7A991114"/>
    <w:rsid w:val="7BE27582"/>
    <w:rsid w:val="7F2C47FF"/>
    <w:rsid w:val="7FCE341B"/>
    <w:rsid w:val="7FDF1039"/>
    <w:rsid w:val="ADB838B5"/>
    <w:rsid w:val="BA7B23C6"/>
    <w:rsid w:val="EFEB8E5C"/>
    <w:rsid w:val="FFBF1B9D"/>
    <w:rsid w:val="FFF99C2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ocked="1"/>
    <w:lsdException w:qFormat="1" w:unhideWhenUsed="0" w:uiPriority="0" w:name="toc 2" w:locked="1"/>
    <w:lsdException w:qFormat="1" w:unhideWhenUsed="0" w:uiPriority="0" w:name="toc 3" w:locked="1"/>
    <w:lsdException w:qFormat="1" w:unhideWhenUsed="0" w:uiPriority="0" w:name="toc 4" w:locked="1"/>
    <w:lsdException w:qFormat="1"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locked/>
    <w:uiPriority w:val="0"/>
    <w:pPr>
      <w:ind w:left="1260"/>
      <w:jc w:val="left"/>
    </w:pPr>
    <w:rPr>
      <w:sz w:val="20"/>
      <w:szCs w:val="20"/>
    </w:rPr>
  </w:style>
  <w:style w:type="paragraph" w:styleId="3">
    <w:name w:val="annotation text"/>
    <w:basedOn w:val="1"/>
    <w:qFormat/>
    <w:uiPriority w:val="0"/>
    <w:pPr>
      <w:jc w:val="left"/>
    </w:pPr>
  </w:style>
  <w:style w:type="paragraph" w:styleId="4">
    <w:name w:val="Body Text"/>
    <w:basedOn w:val="1"/>
    <w:link w:val="22"/>
    <w:qFormat/>
    <w:uiPriority w:val="0"/>
    <w:pPr>
      <w:jc w:val="center"/>
    </w:pPr>
    <w:rPr>
      <w:rFonts w:eastAsia="仿宋_GB2312"/>
      <w:sz w:val="44"/>
    </w:rPr>
  </w:style>
  <w:style w:type="paragraph" w:styleId="5">
    <w:name w:val="toc 5"/>
    <w:basedOn w:val="1"/>
    <w:next w:val="1"/>
    <w:semiHidden/>
    <w:qFormat/>
    <w:locked/>
    <w:uiPriority w:val="0"/>
    <w:pPr>
      <w:ind w:left="840"/>
      <w:jc w:val="left"/>
    </w:pPr>
    <w:rPr>
      <w:sz w:val="20"/>
      <w:szCs w:val="20"/>
    </w:rPr>
  </w:style>
  <w:style w:type="paragraph" w:styleId="6">
    <w:name w:val="toc 3"/>
    <w:basedOn w:val="1"/>
    <w:next w:val="1"/>
    <w:semiHidden/>
    <w:qFormat/>
    <w:locked/>
    <w:uiPriority w:val="0"/>
    <w:pPr>
      <w:ind w:left="420"/>
      <w:jc w:val="left"/>
    </w:pPr>
    <w:rPr>
      <w:sz w:val="20"/>
      <w:szCs w:val="20"/>
    </w:rPr>
  </w:style>
  <w:style w:type="paragraph" w:styleId="7">
    <w:name w:val="Plain Text"/>
    <w:basedOn w:val="1"/>
    <w:link w:val="26"/>
    <w:qFormat/>
    <w:uiPriority w:val="0"/>
    <w:rPr>
      <w:rFonts w:ascii="宋体" w:hAnsi="Courier New"/>
      <w:kern w:val="0"/>
      <w:szCs w:val="21"/>
    </w:rPr>
  </w:style>
  <w:style w:type="paragraph" w:styleId="8">
    <w:name w:val="toc 8"/>
    <w:basedOn w:val="1"/>
    <w:next w:val="1"/>
    <w:semiHidden/>
    <w:qFormat/>
    <w:locked/>
    <w:uiPriority w:val="0"/>
    <w:pPr>
      <w:ind w:left="1470"/>
      <w:jc w:val="left"/>
    </w:pPr>
    <w:rPr>
      <w:sz w:val="20"/>
      <w:szCs w:val="20"/>
    </w:rPr>
  </w:style>
  <w:style w:type="paragraph" w:styleId="9">
    <w:name w:val="Balloon Text"/>
    <w:basedOn w:val="1"/>
    <w:link w:val="23"/>
    <w:qFormat/>
    <w:uiPriority w:val="0"/>
    <w:rPr>
      <w:sz w:val="18"/>
      <w:szCs w:val="18"/>
    </w:rPr>
  </w:style>
  <w:style w:type="paragraph" w:styleId="10">
    <w:name w:val="footer"/>
    <w:basedOn w:val="1"/>
    <w:link w:val="25"/>
    <w:qFormat/>
    <w:uiPriority w:val="0"/>
    <w:pPr>
      <w:tabs>
        <w:tab w:val="center" w:pos="4153"/>
        <w:tab w:val="right" w:pos="8306"/>
      </w:tabs>
      <w:snapToGrid w:val="0"/>
      <w:jc w:val="left"/>
    </w:pPr>
    <w:rPr>
      <w:kern w:val="0"/>
      <w:sz w:val="18"/>
      <w:szCs w:val="18"/>
    </w:rPr>
  </w:style>
  <w:style w:type="paragraph" w:styleId="11">
    <w:name w:val="header"/>
    <w:basedOn w:val="1"/>
    <w:link w:val="24"/>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semiHidden/>
    <w:qFormat/>
    <w:locked/>
    <w:uiPriority w:val="0"/>
    <w:pPr>
      <w:spacing w:before="120"/>
      <w:jc w:val="left"/>
    </w:pPr>
    <w:rPr>
      <w:b/>
      <w:bCs/>
      <w:i/>
      <w:iCs/>
      <w:sz w:val="24"/>
    </w:rPr>
  </w:style>
  <w:style w:type="paragraph" w:styleId="13">
    <w:name w:val="toc 4"/>
    <w:basedOn w:val="1"/>
    <w:next w:val="1"/>
    <w:semiHidden/>
    <w:qFormat/>
    <w:locked/>
    <w:uiPriority w:val="0"/>
    <w:pPr>
      <w:ind w:left="630"/>
      <w:jc w:val="left"/>
    </w:pPr>
    <w:rPr>
      <w:sz w:val="20"/>
      <w:szCs w:val="20"/>
    </w:rPr>
  </w:style>
  <w:style w:type="paragraph" w:styleId="14">
    <w:name w:val="toc 6"/>
    <w:basedOn w:val="1"/>
    <w:next w:val="1"/>
    <w:semiHidden/>
    <w:qFormat/>
    <w:locked/>
    <w:uiPriority w:val="0"/>
    <w:pPr>
      <w:ind w:left="1050"/>
      <w:jc w:val="left"/>
    </w:pPr>
    <w:rPr>
      <w:sz w:val="20"/>
      <w:szCs w:val="20"/>
    </w:rPr>
  </w:style>
  <w:style w:type="paragraph" w:styleId="15">
    <w:name w:val="toc 2"/>
    <w:basedOn w:val="1"/>
    <w:next w:val="1"/>
    <w:semiHidden/>
    <w:qFormat/>
    <w:locked/>
    <w:uiPriority w:val="0"/>
    <w:pPr>
      <w:spacing w:before="120"/>
      <w:ind w:left="210"/>
      <w:jc w:val="left"/>
    </w:pPr>
    <w:rPr>
      <w:b/>
      <w:bCs/>
      <w:sz w:val="22"/>
      <w:szCs w:val="22"/>
    </w:rPr>
  </w:style>
  <w:style w:type="paragraph" w:styleId="16">
    <w:name w:val="toc 9"/>
    <w:basedOn w:val="1"/>
    <w:next w:val="1"/>
    <w:semiHidden/>
    <w:qFormat/>
    <w:locked/>
    <w:uiPriority w:val="0"/>
    <w:pPr>
      <w:ind w:left="1680"/>
      <w:jc w:val="left"/>
    </w:pPr>
    <w:rPr>
      <w:sz w:val="20"/>
      <w:szCs w:val="20"/>
    </w:rPr>
  </w:style>
  <w:style w:type="character" w:styleId="19">
    <w:name w:val="page number"/>
    <w:qFormat/>
    <w:uiPriority w:val="0"/>
    <w:rPr>
      <w:rFonts w:cs="Times New Roman"/>
    </w:rPr>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正文文本 Char"/>
    <w:link w:val="4"/>
    <w:qFormat/>
    <w:uiPriority w:val="0"/>
    <w:rPr>
      <w:rFonts w:ascii="Times New Roman" w:hAnsi="Times New Roman" w:eastAsia="仿宋_GB2312"/>
      <w:kern w:val="2"/>
      <w:sz w:val="44"/>
      <w:szCs w:val="24"/>
    </w:rPr>
  </w:style>
  <w:style w:type="character" w:customStyle="1" w:styleId="23">
    <w:name w:val="批注框文本 Char"/>
    <w:link w:val="9"/>
    <w:qFormat/>
    <w:uiPriority w:val="0"/>
    <w:rPr>
      <w:rFonts w:ascii="Times New Roman" w:hAnsi="Times New Roman"/>
      <w:kern w:val="2"/>
      <w:sz w:val="18"/>
      <w:szCs w:val="18"/>
    </w:rPr>
  </w:style>
  <w:style w:type="character" w:customStyle="1" w:styleId="24">
    <w:name w:val="页眉 Char"/>
    <w:link w:val="11"/>
    <w:semiHidden/>
    <w:qFormat/>
    <w:locked/>
    <w:uiPriority w:val="0"/>
    <w:rPr>
      <w:rFonts w:cs="Times New Roman"/>
      <w:sz w:val="18"/>
      <w:szCs w:val="18"/>
    </w:rPr>
  </w:style>
  <w:style w:type="character" w:customStyle="1" w:styleId="25">
    <w:name w:val="页脚 Char"/>
    <w:link w:val="10"/>
    <w:semiHidden/>
    <w:qFormat/>
    <w:locked/>
    <w:uiPriority w:val="0"/>
    <w:rPr>
      <w:rFonts w:cs="Times New Roman"/>
      <w:sz w:val="18"/>
      <w:szCs w:val="18"/>
    </w:rPr>
  </w:style>
  <w:style w:type="character" w:customStyle="1" w:styleId="26">
    <w:name w:val="纯文本 Char"/>
    <w:link w:val="7"/>
    <w:qFormat/>
    <w:locked/>
    <w:uiPriority w:val="0"/>
    <w:rPr>
      <w:rFonts w:ascii="宋体" w:hAnsi="Courier New" w:eastAsia="宋体" w:cs="Times New Roman"/>
      <w:sz w:val="21"/>
      <w:szCs w:val="21"/>
    </w:rPr>
  </w:style>
  <w:style w:type="paragraph" w:styleId="2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559</Words>
  <Characters>3191</Characters>
  <Lines>26</Lines>
  <Paragraphs>7</Paragraphs>
  <TotalTime>4</TotalTime>
  <ScaleCrop>false</ScaleCrop>
  <LinksUpToDate>false</LinksUpToDate>
  <CharactersWithSpaces>3743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2022-09-28T10:47:00Z</dcterms:created>
  <dc:creator>Administrator</dc:creator>
  <cp:lastModifiedBy>administartor</cp:lastModifiedBy>
  <cp:lastPrinted>2016-09-07T15:19:00Z</cp:lastPrinted>
  <dcterms:modified xsi:type="dcterms:W3CDTF">2026-01-12T15:44:01Z</dcterms:modified>
  <dc:title>档案展览和参观服务指南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