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b w:val="0"/>
          <w:color w:val="000000"/>
          <w:sz w:val="48"/>
          <w:szCs w:val="4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 xml:space="preserve"> </w:t>
      </w:r>
      <w:bookmarkStart w:id="0" w:name="OLE_LINK2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"javascript:void(0)" \o "分享到微信"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六安市地震局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left"/>
        <w:rPr>
          <w:rFonts w:hint="default" w:ascii="Calibri" w:hAnsi="Calibri" w:cs="Calibri"/>
          <w:color w:val="000000"/>
          <w:sz w:val="21"/>
          <w:szCs w:val="21"/>
        </w:rPr>
      </w:pPr>
      <w:bookmarkStart w:id="2" w:name="_GoBack"/>
      <w:bookmarkStart w:id="1" w:name="OLE_LINK1"/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本年度报告根据《中华人民共和国政府信息公开条例》（以下简称《条例》），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市政务公开办工作要求，由六安市地震局编制。全文包括总体情况，行政机关主动公开政府信息情况，收到和处理政府信息公开申请情况，政府信息公开申请行政复议、提起行政诉讼情况，政府信息公开工作存在的主要问题及改进情况，其他需要报告的事项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个部分。本年度报告中使用数据统计期限为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日。本年度报告可在六安市地震局政府信息公开平台下载。如对本年度报告有疑问，请与六安市地震局联系，联系电话：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0564-3379343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；图文传真：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0564-3370061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；电子邮箱：lasdzj@126.com;地址：六安市行政中心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号楼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316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室;邮编：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237000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2025年度，六安市地震局贯彻落实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《中华人民共和国政府信息公开条例》，主动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做好政府信息公开平台建设，积极公开本单位及县区工作动态，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认真执行规定，做好政府信息公开工作规范化、制度化。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2"/>
        <w:jc w:val="left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ascii="方正楷体_GBK" w:hAnsi="方正楷体_GBK" w:eastAsia="方正楷体_GBK" w:cs="方正楷体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一</w:t>
      </w:r>
      <w:r>
        <w:rPr>
          <w:rFonts w:hint="eastAsia" w:ascii="方正楷体_GBK" w:hAnsi="方正楷体_GBK" w:eastAsia="方正楷体_GBK" w:cs="方正楷体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）主动公开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2"/>
        <w:jc w:val="left"/>
        <w:rPr>
          <w:rFonts w:hint="default" w:ascii="Calibri" w:hAnsi="Calibri" w:cs="Calibri"/>
          <w:color w:val="000000"/>
          <w:sz w:val="21"/>
          <w:szCs w:val="21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年度，市地震局在门户网站发布各类信息共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247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条。公开本部门工作动态，发布信息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条，及时公开六安市发生的二级及以上地震情况，发布地震信息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条、国内外地震成因及影响情况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条；公开地震行业新成果新标准，发布信息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条；公开县区地震工作开展情况，发布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条信息。根据政府信息公开目录，认真整改各项栏目中存在的问题，保障公开信息的准确性及规范性。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2"/>
        <w:jc w:val="left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依申请公开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left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年度市地震局未收到依申请公开事项。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2"/>
        <w:jc w:val="left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严格遵守信息公开审核制度，对公开信息进行审核及备份，确保信息的准确性及真实性。加强政府信息资源管理，通过门户网站公开现行规范性文件，清理部分栏目无效说明信息。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2"/>
        <w:jc w:val="left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50" w:lineRule="atLeast"/>
        <w:ind w:left="0" w:right="0" w:firstLine="640"/>
        <w:jc w:val="left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我单位认真更新建设特色专题专栏，公开红色家风故事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条。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我单位现有政务新媒体账号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个，均在正常运营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微信订阅号“六安市地震局发布”订阅数为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3360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，本年度发布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964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条信息；新浪微博“六安市地震局发布”用户关注量为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1523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，本年度发布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955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条信息。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50" w:lineRule="atLeast"/>
        <w:ind w:left="0" w:right="0" w:firstLine="642"/>
        <w:jc w:val="left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（五）监督保障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完善监督保障措施，严格执行三审制度、保密制度，切实加强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对信息公开工作的统筹指导，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做好信息管理工作的监督保障。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right="0" w:firstLine="640" w:firstLineChars="200"/>
        <w:jc w:val="both"/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二、主动公开政府信息情况</w:t>
      </w: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"/>
              </w:rPr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1"/>
                <w:szCs w:val="21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"/>
              </w:rPr>
              <w:t>0</w:t>
            </w:r>
          </w:p>
        </w:tc>
      </w:tr>
    </w:tbl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tbl>
      <w:tblPr>
        <w:tblStyle w:val="6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/>
    <w:p>
      <w:pPr>
        <w:keepNext w:val="0"/>
        <w:keepLines w:val="0"/>
        <w:widowControl/>
        <w:suppressLineNumbers w:val="0"/>
        <w:jc w:val="left"/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6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政府信息公开工作存在的主要问题及改进情况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年，本单位政府信息公开工作开展顺利，但仍存在一些不足。主要是政务公开队伍建设不足，政务公开培训开展较少，工作人员对政务公开的新要求、新规定理解不够透彻，部分问题整改不到位。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针对以上问题，我局积极改进，采取相应解决措施：加强政务公开工作队伍建设，增加工作人员，定期开展政务公开工作培训，提升经办人员业务能力。开展“回头看”工作，定时检查问题整改情况，保障整改工作成效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年，我局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延续防震减灾直播工作</w:t>
      </w:r>
      <w: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联合省地震局、市公安局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、市教育局、六安地震监测中心站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市公安局直播间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举办防震减灾主题抖音直播活动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。本年度共开展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次直播活动。市教育部门积极组织全市中小学生观看，市平安守望联盟积极组织队员观看，扩大防震减灾宣传影响力，增强公众防灾避险意识和自救互救能力。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按照《国务院办公厅关于印发&lt;政府信息公开信息处理费管理办法&gt;的通知》（国办函〔</w:t>
      </w:r>
      <w:r>
        <w:rPr>
          <w:rFonts w:hint="default" w:ascii="Times New Roman" w:hAnsi="Times New Roman" w:eastAsia="CESI宋体-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109</w:t>
      </w:r>
      <w: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号）规定的按件、按量收费标准，本年度没有产生信息公开处理费。</w:t>
      </w:r>
      <w:bookmarkEnd w:id="0"/>
      <w:bookmarkEnd w:id="1"/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EE13B3"/>
    <w:multiLevelType w:val="singleLevel"/>
    <w:tmpl w:val="CFEE13B3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FC848"/>
    <w:rsid w:val="019E1BD2"/>
    <w:rsid w:val="3777CE6D"/>
    <w:rsid w:val="3FDB8396"/>
    <w:rsid w:val="4FDFC848"/>
    <w:rsid w:val="5BEFD85D"/>
    <w:rsid w:val="5F7BDF1D"/>
    <w:rsid w:val="6FDC4067"/>
    <w:rsid w:val="702957D2"/>
    <w:rsid w:val="72E2B673"/>
    <w:rsid w:val="74F97330"/>
    <w:rsid w:val="78EE9386"/>
    <w:rsid w:val="7D8402DF"/>
    <w:rsid w:val="7FE5888B"/>
    <w:rsid w:val="8A55A75B"/>
    <w:rsid w:val="95D7C8FE"/>
    <w:rsid w:val="9D7D96EB"/>
    <w:rsid w:val="AF57FB8F"/>
    <w:rsid w:val="AFD790EC"/>
    <w:rsid w:val="B45D9B7D"/>
    <w:rsid w:val="B9F19414"/>
    <w:rsid w:val="BFD735CC"/>
    <w:rsid w:val="CFFD05C9"/>
    <w:rsid w:val="DE3B7A9C"/>
    <w:rsid w:val="DF7F5E85"/>
    <w:rsid w:val="F7FEEEB9"/>
    <w:rsid w:val="F7FF4E63"/>
    <w:rsid w:val="FC668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2179</Words>
  <Characters>2292</Characters>
  <Lines>0</Lines>
  <Paragraphs>0</Paragraphs>
  <TotalTime>27</TotalTime>
  <ScaleCrop>false</ScaleCrop>
  <LinksUpToDate>false</LinksUpToDate>
  <CharactersWithSpaces>2306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2025-01-09T01:36:00Z</dcterms:created>
  <dc:creator>administrator</dc:creator>
  <cp:lastModifiedBy>Administrator</cp:lastModifiedBy>
  <dcterms:modified xsi:type="dcterms:W3CDTF">2026-01-23T07:26:42Z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TemplateDocerSaveRecord">
    <vt:lpwstr>eyJoZGlkIjoiZDM0NjQ0YzI0OWE1YzI1N2ZiYTUxYTkxMjZlNTExZTQifQ==</vt:lpwstr>
  </property>
  <property fmtid="{D5CDD505-2E9C-101B-9397-08002B2CF9AE}" pid="4" name="ICV">
    <vt:lpwstr>B6D02984D45340CCBA3C2D3A29D15ED3_12</vt:lpwstr>
  </property>
</Properties>
</file>