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附件4</w:t>
      </w:r>
    </w:p>
    <w:p>
      <w:pPr>
        <w:widowControl/>
        <w:shd w:val="clear" w:color="auto" w:fill="FFFFFF"/>
        <w:jc w:val="center"/>
        <w:rPr>
          <w:rFonts w:ascii="宋体" w:hAnsi="宋体" w:eastAsia="宋体" w:cs="宋体"/>
          <w:color w:val="000000"/>
          <w:kern w:val="0"/>
          <w:sz w:val="24"/>
          <w:szCs w:val="24"/>
        </w:rPr>
      </w:pPr>
      <w:r>
        <w:rPr>
          <w:rFonts w:hint="eastAsia" w:ascii="宋体" w:hAnsi="宋体" w:eastAsia="宋体" w:cs="宋体"/>
          <w:b/>
          <w:bCs/>
          <w:color w:val="000000"/>
          <w:kern w:val="0"/>
          <w:sz w:val="44"/>
          <w:szCs w:val="44"/>
          <w:lang w:eastAsia="zh-CN"/>
        </w:rPr>
        <w:t>市</w:t>
      </w:r>
      <w:r>
        <w:rPr>
          <w:rFonts w:hint="eastAsia" w:ascii="宋体" w:hAnsi="宋体" w:eastAsia="宋体" w:cs="宋体"/>
          <w:b/>
          <w:bCs/>
          <w:color w:val="000000"/>
          <w:kern w:val="0"/>
          <w:sz w:val="44"/>
          <w:szCs w:val="44"/>
        </w:rPr>
        <w:t>地震局权责事项廉政风险点情况表（202</w:t>
      </w:r>
      <w:r>
        <w:rPr>
          <w:rFonts w:hint="eastAsia" w:ascii="宋体" w:hAnsi="宋体" w:eastAsia="宋体" w:cs="宋体"/>
          <w:b/>
          <w:bCs/>
          <w:color w:val="000000"/>
          <w:kern w:val="0"/>
          <w:sz w:val="44"/>
          <w:szCs w:val="44"/>
          <w:lang w:val="en-US" w:eastAsia="zh-CN"/>
        </w:rPr>
        <w:t>3</w:t>
      </w:r>
      <w:bookmarkStart w:id="0" w:name="_GoBack"/>
      <w:bookmarkEnd w:id="0"/>
      <w:r>
        <w:rPr>
          <w:rFonts w:hint="eastAsia" w:ascii="宋体" w:hAnsi="宋体" w:eastAsia="宋体" w:cs="宋体"/>
          <w:b/>
          <w:bCs/>
          <w:color w:val="000000"/>
          <w:kern w:val="0"/>
          <w:sz w:val="44"/>
          <w:szCs w:val="44"/>
        </w:rPr>
        <w:t>年版）</w:t>
      </w:r>
    </w:p>
    <w:p>
      <w:pPr>
        <w:widowControl/>
        <w:shd w:val="clear" w:color="auto" w:fill="FFFFFF"/>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5"/>
        <w:gridCol w:w="1807"/>
        <w:gridCol w:w="1125"/>
        <w:gridCol w:w="3465"/>
        <w:gridCol w:w="810"/>
        <w:gridCol w:w="521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8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序号</w:t>
            </w:r>
          </w:p>
        </w:tc>
        <w:tc>
          <w:tcPr>
            <w:tcW w:w="180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权力事项</w:t>
            </w:r>
          </w:p>
        </w:tc>
        <w:tc>
          <w:tcPr>
            <w:tcW w:w="112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廉政风险点数量</w:t>
            </w: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表现形式</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等级</w:t>
            </w:r>
          </w:p>
        </w:tc>
        <w:tc>
          <w:tcPr>
            <w:tcW w:w="521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防控措施</w:t>
            </w:r>
          </w:p>
        </w:tc>
        <w:tc>
          <w:tcPr>
            <w:tcW w:w="116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黑体" w:hAnsi="黑体" w:eastAsia="黑体" w:cs="宋体"/>
                <w:kern w:val="0"/>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restart"/>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807" w:type="dxa"/>
            <w:vMerge w:val="restart"/>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对以其他地震安全性评价单位的名义承揽地震安全性评价业务等二类行为的处罚</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对未依法进行地震安全性评价，或者未按照地震安全性评价报告所确定的抗震设防要求进行抗震设防,逾期不改正等二类行为的处罚</w:t>
            </w:r>
          </w:p>
        </w:tc>
        <w:tc>
          <w:tcPr>
            <w:tcW w:w="1125"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465" w:type="dxa"/>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案件受理不及时，徇私舞弊，应立案不立案。</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建立查处案件台帐，定期进行检查；严格按照法规程序进行监督。</w:t>
            </w:r>
          </w:p>
        </w:tc>
        <w:tc>
          <w:tcPr>
            <w:tcW w:w="116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w:t>
            </w:r>
            <w:r>
              <w:rPr>
                <w:rFonts w:hint="eastAsia" w:ascii="宋体" w:hAnsi="宋体" w:eastAsia="宋体" w:cs="宋体"/>
                <w:kern w:val="0"/>
                <w:sz w:val="24"/>
                <w:szCs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调查取证时接受请托，办理人情案。伪造、丢失、损毁、不按规定取证，导致案件调查无法正常进行。在案件办理中不履行法定告知义务</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规范处罚程序，现场调查必须两人以上；调查取证可采取现场录音、录像等技术手段；严格政务公开制度； 健全信访投诉举报受理制度； 实行一次性告知制。</w:t>
            </w:r>
          </w:p>
        </w:tc>
        <w:tc>
          <w:tcPr>
            <w:tcW w:w="1167"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防御与科普科科</w:t>
            </w:r>
            <w:r>
              <w:rPr>
                <w:rFonts w:hint="eastAsia" w:ascii="宋体" w:hAnsi="宋体" w:eastAsia="宋体" w:cs="宋体"/>
                <w:kern w:val="0"/>
                <w:sz w:val="24"/>
                <w:szCs w:val="24"/>
              </w:rPr>
              <w:t>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久拖不批或越权审批，无故拖延案件办理；利用职务便利接受贿赂为当事人谋利益；随意行使自由裁量权；法律法规运用错误；</w:t>
            </w:r>
            <w:r>
              <w:rPr>
                <w:rFonts w:ascii="宋体" w:hAnsi="宋体" w:eastAsia="宋体" w:cs="宋体"/>
                <w:kern w:val="0"/>
                <w:sz w:val="24"/>
                <w:szCs w:val="24"/>
              </w:rPr>
              <w:t>决定环节违背民主集中制原则</w:t>
            </w:r>
            <w:r>
              <w:rPr>
                <w:rFonts w:hint="eastAsia" w:ascii="宋体" w:hAnsi="宋体" w:eastAsia="宋体" w:cs="宋体"/>
                <w:kern w:val="0"/>
                <w:sz w:val="24"/>
                <w:szCs w:val="24"/>
              </w:rPr>
              <w:t>。</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执行内部监督检查，纪检跟踪督查制度；严格层级审批制度；严格执行听证程序，重大案件必须集体讨论；严格履行服务承诺、政务公开、健全信访投诉举报受理制度。</w:t>
            </w:r>
          </w:p>
        </w:tc>
        <w:tc>
          <w:tcPr>
            <w:tcW w:w="116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局领导、震害</w:t>
            </w:r>
            <w:r>
              <w:rPr>
                <w:rFonts w:hint="eastAsia" w:ascii="宋体" w:hAnsi="宋体" w:eastAsia="宋体" w:cs="宋体"/>
                <w:kern w:val="0"/>
                <w:sz w:val="24"/>
                <w:szCs w:val="24"/>
                <w:lang w:eastAsia="zh-CN"/>
              </w:rPr>
              <w:t>防御与科普科科</w:t>
            </w:r>
            <w:r>
              <w:rPr>
                <w:rFonts w:hint="eastAsia" w:ascii="宋体" w:hAnsi="宋体" w:eastAsia="宋体" w:cs="宋体"/>
                <w:kern w:val="0"/>
                <w:sz w:val="24"/>
                <w:szCs w:val="24"/>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不履行送达程序；对已作出处罚决定的案件不执行、不及时执行或变通。</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加强政务公开，对被处罚当事人进行回访；对案卷处理进行抽查，加强对执行情况的监督；健全信访投诉举报受理制度。  </w:t>
            </w:r>
          </w:p>
        </w:tc>
        <w:tc>
          <w:tcPr>
            <w:tcW w:w="1167"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w:t>
            </w:r>
            <w:r>
              <w:rPr>
                <w:rFonts w:hint="eastAsia" w:ascii="宋体" w:hAnsi="宋体" w:eastAsia="宋体" w:cs="宋体"/>
                <w:kern w:val="0"/>
                <w:sz w:val="24"/>
                <w:szCs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结案材料归档不及时，手续不完整。</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建立案件台帐，定期进行检查。</w:t>
            </w:r>
          </w:p>
        </w:tc>
        <w:tc>
          <w:tcPr>
            <w:tcW w:w="116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w:t>
            </w:r>
            <w:r>
              <w:rPr>
                <w:rFonts w:hint="eastAsia" w:ascii="宋体" w:hAnsi="宋体" w:eastAsia="宋体" w:cs="宋体"/>
                <w:kern w:val="0"/>
                <w:sz w:val="24"/>
                <w:szCs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restart"/>
            <w:vAlign w:val="center"/>
          </w:tcPr>
          <w:p>
            <w:pPr>
              <w:widowControl/>
              <w:ind w:firstLine="218"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807" w:type="dxa"/>
            <w:vMerge w:val="restart"/>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对侵占、毁损、拆除或者擅自移动地震监测设施等三类行为的处罚</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对未按照要求增建抗干扰设施或者新建地震监测设施的处罚</w:t>
            </w:r>
          </w:p>
        </w:tc>
        <w:tc>
          <w:tcPr>
            <w:tcW w:w="1125" w:type="dxa"/>
            <w:vMerge w:val="restart"/>
            <w:vAlign w:val="center"/>
          </w:tcPr>
          <w:p>
            <w:pPr>
              <w:widowControl/>
              <w:ind w:firstLine="264"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3465" w:type="dxa"/>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案件受理不及时，徇私舞弊，应立案不立案。</w:t>
            </w:r>
          </w:p>
        </w:tc>
        <w:tc>
          <w:tcPr>
            <w:tcW w:w="81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低</w:t>
            </w:r>
          </w:p>
        </w:tc>
        <w:tc>
          <w:tcPr>
            <w:tcW w:w="5215"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建立查处案件台帐，定期进行检查；严格按照法规程序进行监督。</w:t>
            </w:r>
          </w:p>
        </w:tc>
        <w:tc>
          <w:tcPr>
            <w:tcW w:w="1167"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监测预报和科普科</w:t>
            </w:r>
            <w:r>
              <w:rPr>
                <w:rFonts w:hint="eastAsia" w:ascii="宋体" w:hAnsi="宋体" w:eastAsia="宋体" w:cs="宋体"/>
                <w:kern w:val="0"/>
                <w:sz w:val="24"/>
                <w:szCs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continue"/>
            <w:vAlign w:val="center"/>
          </w:tcPr>
          <w:p>
            <w:pPr>
              <w:widowControl/>
              <w:ind w:firstLine="218" w:firstLineChars="0"/>
              <w:jc w:val="left"/>
              <w:rPr>
                <w:rFonts w:hint="eastAsia" w:ascii="宋体" w:hAnsi="宋体" w:eastAsia="宋体" w:cs="宋体"/>
                <w:kern w:val="0"/>
                <w:sz w:val="24"/>
                <w:szCs w:val="24"/>
                <w:lang w:val="en-US" w:eastAsia="zh-CN"/>
              </w:rPr>
            </w:pPr>
          </w:p>
        </w:tc>
        <w:tc>
          <w:tcPr>
            <w:tcW w:w="1807" w:type="dxa"/>
            <w:vMerge w:val="continue"/>
            <w:vAlign w:val="center"/>
          </w:tcPr>
          <w:p>
            <w:pPr>
              <w:widowControl/>
              <w:jc w:val="center"/>
              <w:rPr>
                <w:rFonts w:hint="eastAsia"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调查取证时接受请托，办理人情案。伪造、丢失、损毁、不按规定取证，导致案件调查无法正常进行。在案件办理中不履行法定告知义务</w:t>
            </w:r>
          </w:p>
        </w:tc>
        <w:tc>
          <w:tcPr>
            <w:tcW w:w="81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低</w:t>
            </w:r>
          </w:p>
        </w:tc>
        <w:tc>
          <w:tcPr>
            <w:tcW w:w="5215"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规范处罚程序，现场调查必须两人以上；调查取证可采取现场录音、录像等技术手段；严格政务公开制度； 健全信访投诉举报受理制度； 实行一次性告知制。</w:t>
            </w:r>
          </w:p>
        </w:tc>
        <w:tc>
          <w:tcPr>
            <w:tcW w:w="1167" w:type="dxa"/>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监测预报和科普科科</w:t>
            </w:r>
            <w:r>
              <w:rPr>
                <w:rFonts w:hint="eastAsia" w:ascii="宋体" w:hAnsi="宋体" w:eastAsia="宋体" w:cs="宋体"/>
                <w:kern w:val="0"/>
                <w:sz w:val="24"/>
                <w:szCs w:val="24"/>
              </w:rPr>
              <w:t>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continue"/>
            <w:vAlign w:val="center"/>
          </w:tcPr>
          <w:p>
            <w:pPr>
              <w:widowControl/>
              <w:ind w:firstLine="218" w:firstLineChars="0"/>
              <w:jc w:val="left"/>
              <w:rPr>
                <w:rFonts w:hint="eastAsia" w:ascii="宋体" w:hAnsi="宋体" w:eastAsia="宋体" w:cs="宋体"/>
                <w:kern w:val="0"/>
                <w:sz w:val="24"/>
                <w:szCs w:val="24"/>
                <w:lang w:val="en-US" w:eastAsia="zh-CN"/>
              </w:rPr>
            </w:pPr>
          </w:p>
        </w:tc>
        <w:tc>
          <w:tcPr>
            <w:tcW w:w="1807" w:type="dxa"/>
            <w:vMerge w:val="continue"/>
            <w:vAlign w:val="center"/>
          </w:tcPr>
          <w:p>
            <w:pPr>
              <w:widowControl/>
              <w:jc w:val="center"/>
              <w:rPr>
                <w:rFonts w:hint="eastAsia"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久拖不批或越权审批，无故拖延案件办理；利用职务便利接受贿赂为当事人谋利益；随意行使自由裁量权；法律法规运用错误；</w:t>
            </w:r>
            <w:r>
              <w:rPr>
                <w:rFonts w:ascii="宋体" w:hAnsi="宋体" w:eastAsia="宋体" w:cs="宋体"/>
                <w:kern w:val="0"/>
                <w:sz w:val="24"/>
                <w:szCs w:val="24"/>
              </w:rPr>
              <w:t>决定环节违背民主集中制原则</w:t>
            </w:r>
            <w:r>
              <w:rPr>
                <w:rFonts w:hint="eastAsia" w:ascii="宋体" w:hAnsi="宋体" w:eastAsia="宋体" w:cs="宋体"/>
                <w:kern w:val="0"/>
                <w:sz w:val="24"/>
                <w:szCs w:val="24"/>
              </w:rPr>
              <w:t>。</w:t>
            </w:r>
          </w:p>
        </w:tc>
        <w:tc>
          <w:tcPr>
            <w:tcW w:w="81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低</w:t>
            </w:r>
          </w:p>
        </w:tc>
        <w:tc>
          <w:tcPr>
            <w:tcW w:w="5215"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执行内部监督检查，纪检跟踪督查制度；严格层级审批制度；严格执行听证程序，重大案件必须集体讨论；严格履行服务承诺、政务公开、健全信访投诉举报受理制度。</w:t>
            </w:r>
          </w:p>
        </w:tc>
        <w:tc>
          <w:tcPr>
            <w:tcW w:w="1167"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局领导、</w:t>
            </w:r>
            <w:r>
              <w:rPr>
                <w:rFonts w:hint="eastAsia" w:ascii="宋体" w:hAnsi="宋体" w:eastAsia="宋体" w:cs="宋体"/>
                <w:kern w:val="0"/>
                <w:sz w:val="24"/>
                <w:szCs w:val="24"/>
                <w:lang w:eastAsia="zh-CN"/>
              </w:rPr>
              <w:t>监测预报和科普科科</w:t>
            </w:r>
            <w:r>
              <w:rPr>
                <w:rFonts w:hint="eastAsia" w:ascii="宋体" w:hAnsi="宋体" w:eastAsia="宋体" w:cs="宋体"/>
                <w:kern w:val="0"/>
                <w:sz w:val="24"/>
                <w:szCs w:val="24"/>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continue"/>
            <w:vAlign w:val="center"/>
          </w:tcPr>
          <w:p>
            <w:pPr>
              <w:widowControl/>
              <w:ind w:firstLine="218" w:firstLineChars="0"/>
              <w:jc w:val="left"/>
              <w:rPr>
                <w:rFonts w:hint="eastAsia" w:ascii="宋体" w:hAnsi="宋体" w:eastAsia="宋体" w:cs="宋体"/>
                <w:kern w:val="0"/>
                <w:sz w:val="24"/>
                <w:szCs w:val="24"/>
                <w:lang w:val="en-US" w:eastAsia="zh-CN"/>
              </w:rPr>
            </w:pPr>
          </w:p>
        </w:tc>
        <w:tc>
          <w:tcPr>
            <w:tcW w:w="1807" w:type="dxa"/>
            <w:vMerge w:val="continue"/>
            <w:vAlign w:val="center"/>
          </w:tcPr>
          <w:p>
            <w:pPr>
              <w:widowControl/>
              <w:jc w:val="center"/>
              <w:rPr>
                <w:rFonts w:hint="eastAsia"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不履行送达程序；对已作出处罚决定的案件不执行、不及时执行或变通。</w:t>
            </w:r>
          </w:p>
        </w:tc>
        <w:tc>
          <w:tcPr>
            <w:tcW w:w="81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低</w:t>
            </w:r>
          </w:p>
        </w:tc>
        <w:tc>
          <w:tcPr>
            <w:tcW w:w="5215"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加强政务公开，对被处罚当事人进行回访；对案卷处理进行抽查，加强对执行情况的监督；健全信访投诉举报受理制度。  </w:t>
            </w:r>
          </w:p>
        </w:tc>
        <w:tc>
          <w:tcPr>
            <w:tcW w:w="1167" w:type="dxa"/>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监测预报和应急科</w:t>
            </w:r>
            <w:r>
              <w:rPr>
                <w:rFonts w:hint="eastAsia" w:ascii="宋体" w:hAnsi="宋体" w:eastAsia="宋体" w:cs="宋体"/>
                <w:kern w:val="0"/>
                <w:sz w:val="24"/>
                <w:szCs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continue"/>
            <w:vAlign w:val="center"/>
          </w:tcPr>
          <w:p>
            <w:pPr>
              <w:widowControl/>
              <w:ind w:firstLine="218" w:firstLineChars="0"/>
              <w:jc w:val="left"/>
              <w:rPr>
                <w:rFonts w:hint="eastAsia" w:ascii="宋体" w:hAnsi="宋体" w:eastAsia="宋体" w:cs="宋体"/>
                <w:kern w:val="0"/>
                <w:sz w:val="24"/>
                <w:szCs w:val="24"/>
                <w:lang w:val="en-US" w:eastAsia="zh-CN"/>
              </w:rPr>
            </w:pPr>
          </w:p>
        </w:tc>
        <w:tc>
          <w:tcPr>
            <w:tcW w:w="1807" w:type="dxa"/>
            <w:vMerge w:val="continue"/>
            <w:vAlign w:val="center"/>
          </w:tcPr>
          <w:p>
            <w:pPr>
              <w:widowControl/>
              <w:jc w:val="center"/>
              <w:rPr>
                <w:rFonts w:hint="eastAsia"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结案材料归档不及时，手续不完整。</w:t>
            </w:r>
          </w:p>
        </w:tc>
        <w:tc>
          <w:tcPr>
            <w:tcW w:w="81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低</w:t>
            </w:r>
          </w:p>
        </w:tc>
        <w:tc>
          <w:tcPr>
            <w:tcW w:w="5215"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建立案件台帐，定期进行检查。</w:t>
            </w:r>
          </w:p>
        </w:tc>
        <w:tc>
          <w:tcPr>
            <w:tcW w:w="1167"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w:t>
            </w:r>
            <w:r>
              <w:rPr>
                <w:rFonts w:hint="eastAsia" w:ascii="宋体" w:hAnsi="宋体" w:eastAsia="宋体" w:cs="宋体"/>
                <w:kern w:val="0"/>
                <w:sz w:val="24"/>
                <w:szCs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80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组织编制防震减灾规划</w:t>
            </w:r>
          </w:p>
        </w:tc>
        <w:tc>
          <w:tcPr>
            <w:tcW w:w="112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规划编制阶段组织不力，把关不严，有失公正</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加强政治理论、党风廉政和业务学习，不断提高履职尽责的能力和水平，坚持公开咨询、集体研究、民主决策的议事规则，客观公正提出编制意见</w:t>
            </w:r>
          </w:p>
        </w:tc>
        <w:tc>
          <w:tcPr>
            <w:tcW w:w="116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防御与科普科科</w:t>
            </w:r>
            <w:r>
              <w:rPr>
                <w:rFonts w:hint="eastAsia" w:ascii="宋体" w:hAnsi="宋体" w:eastAsia="宋体" w:cs="宋体"/>
                <w:kern w:val="0"/>
                <w:sz w:val="24"/>
                <w:szCs w:val="24"/>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80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划定地震观测环境保护范围，设置保护标志</w:t>
            </w:r>
          </w:p>
        </w:tc>
        <w:tc>
          <w:tcPr>
            <w:tcW w:w="112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346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地震观测环境保护范围划定错误</w:t>
            </w:r>
          </w:p>
        </w:tc>
        <w:tc>
          <w:tcPr>
            <w:tcW w:w="810"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中</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、严格规范工作流程，认真组织现场勘查；</w:t>
            </w:r>
          </w:p>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、保护范围划定过程中，保证依据充分；</w:t>
            </w:r>
          </w:p>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、保护范围划定过程不受保护区内单位干扰。</w:t>
            </w:r>
          </w:p>
        </w:tc>
        <w:tc>
          <w:tcPr>
            <w:tcW w:w="1167"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lang w:eastAsia="zh-CN"/>
              </w:rPr>
              <w:t>监测预报和应急科负责人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restart"/>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807" w:type="dxa"/>
            <w:vMerge w:val="restart"/>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要求建设单位增建抗干扰设施或新建地震监测设施并承担所需费用</w:t>
            </w:r>
          </w:p>
        </w:tc>
        <w:tc>
          <w:tcPr>
            <w:tcW w:w="1125" w:type="dxa"/>
            <w:vMerge w:val="restart"/>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3</w:t>
            </w:r>
          </w:p>
        </w:tc>
        <w:tc>
          <w:tcPr>
            <w:tcW w:w="346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建设单位提供虚假基础资料</w:t>
            </w:r>
          </w:p>
        </w:tc>
        <w:tc>
          <w:tcPr>
            <w:tcW w:w="810"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中</w:t>
            </w:r>
          </w:p>
        </w:tc>
        <w:tc>
          <w:tcPr>
            <w:tcW w:w="5215" w:type="dxa"/>
            <w:vMerge w:val="restart"/>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严格规范工作流程，组织现场勘查，确保基础资料准确。</w:t>
            </w:r>
          </w:p>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严格规范工作流程，保证评审专家的独立评审，不受建设单位干扰</w:t>
            </w:r>
          </w:p>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向建设单位提供抗干扰设施或地震监测设施采购建议，确保质量</w:t>
            </w:r>
          </w:p>
        </w:tc>
        <w:tc>
          <w:tcPr>
            <w:tcW w:w="1167"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评审专家提供虚假报告</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w:t>
            </w:r>
          </w:p>
        </w:tc>
        <w:tc>
          <w:tcPr>
            <w:tcW w:w="5215" w:type="dxa"/>
            <w:vMerge w:val="continue"/>
            <w:vAlign w:val="center"/>
          </w:tcPr>
          <w:p>
            <w:pPr>
              <w:widowControl/>
              <w:jc w:val="left"/>
              <w:rPr>
                <w:rFonts w:ascii="宋体" w:hAnsi="宋体" w:eastAsia="宋体" w:cs="宋体"/>
                <w:kern w:val="0"/>
                <w:sz w:val="24"/>
                <w:szCs w:val="24"/>
              </w:rPr>
            </w:pPr>
          </w:p>
        </w:tc>
        <w:tc>
          <w:tcPr>
            <w:tcW w:w="1167"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监测预报</w:t>
            </w:r>
            <w:r>
              <w:rPr>
                <w:rFonts w:hint="eastAsia" w:ascii="宋体" w:hAnsi="宋体" w:eastAsia="宋体" w:cs="宋体"/>
                <w:kern w:val="0"/>
                <w:sz w:val="24"/>
                <w:szCs w:val="24"/>
                <w:lang w:eastAsia="zh-CN"/>
              </w:rPr>
              <w:t>和应急科</w:t>
            </w:r>
            <w:r>
              <w:rPr>
                <w:rFonts w:hint="eastAsia" w:ascii="宋体" w:hAnsi="宋体" w:eastAsia="宋体" w:cs="宋体"/>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建设单位增加抗干扰设施或新建地震监测设施质量不合格</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中</w:t>
            </w:r>
          </w:p>
        </w:tc>
        <w:tc>
          <w:tcPr>
            <w:tcW w:w="5215" w:type="dxa"/>
            <w:vMerge w:val="continue"/>
            <w:vAlign w:val="center"/>
          </w:tcPr>
          <w:p>
            <w:pPr>
              <w:widowControl/>
              <w:jc w:val="left"/>
              <w:rPr>
                <w:rFonts w:ascii="宋体" w:hAnsi="宋体" w:eastAsia="宋体" w:cs="宋体"/>
                <w:kern w:val="0"/>
                <w:sz w:val="24"/>
                <w:szCs w:val="24"/>
              </w:rPr>
            </w:pPr>
          </w:p>
        </w:tc>
        <w:tc>
          <w:tcPr>
            <w:tcW w:w="1167"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restart"/>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180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地震安全性评价项目备案</w:t>
            </w:r>
          </w:p>
        </w:tc>
        <w:tc>
          <w:tcPr>
            <w:tcW w:w="1125"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不按时限要求对申请材料的完整性进行审查</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kern w:val="0"/>
                <w:sz w:val="24"/>
                <w:szCs w:val="24"/>
              </w:rPr>
              <w:t>根据《安徽省防震减灾条例》《安徽省建设工程地震安全性评价管理办法》规范安评项目备案受理、审查等关键节点的事项，保证行政权力的公开、透明、公正。</w:t>
            </w:r>
          </w:p>
        </w:tc>
        <w:tc>
          <w:tcPr>
            <w:tcW w:w="116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震害</w:t>
            </w:r>
            <w:r>
              <w:rPr>
                <w:rFonts w:hint="eastAsia" w:ascii="宋体" w:hAnsi="宋体" w:eastAsia="宋体" w:cs="宋体"/>
                <w:kern w:val="0"/>
                <w:sz w:val="24"/>
                <w:szCs w:val="24"/>
                <w:lang w:eastAsia="zh-CN"/>
              </w:rPr>
              <w:t>防御与科普科负责人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不一次性告知申请所需的全部材料</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kern w:val="0"/>
                <w:sz w:val="24"/>
                <w:szCs w:val="24"/>
              </w:rPr>
              <w:t>制定地震安全性评价项目备案表格和标准文本，在安徽省政务服务网上公示备案流程图和所需材料，供申请人下载</w:t>
            </w:r>
          </w:p>
        </w:tc>
        <w:tc>
          <w:tcPr>
            <w:tcW w:w="1167"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能够现场补正材料的，不允许申请人当场更正错误</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kern w:val="0"/>
                <w:sz w:val="24"/>
                <w:szCs w:val="24"/>
              </w:rPr>
              <w:t>严格按照有关要求，对申报材料进行审查，申报材料不完整或者不符合规定的予以退回。对现场可以补正的允许申请人补正材料，严格按照时限办理</w:t>
            </w:r>
          </w:p>
        </w:tc>
        <w:tc>
          <w:tcPr>
            <w:tcW w:w="1167"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不按时限要求对安评项目进行备案</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kern w:val="0"/>
                <w:sz w:val="24"/>
                <w:szCs w:val="24"/>
              </w:rPr>
              <w:t>对备案过程及其时效性进行实时监控，接受省政务服务管理部门及社会公众的监督</w:t>
            </w:r>
          </w:p>
        </w:tc>
        <w:tc>
          <w:tcPr>
            <w:tcW w:w="1167"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对不应予以备案的项目进行备案</w:t>
            </w:r>
          </w:p>
        </w:tc>
        <w:tc>
          <w:tcPr>
            <w:tcW w:w="81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kern w:val="0"/>
                <w:sz w:val="24"/>
                <w:szCs w:val="24"/>
              </w:rPr>
              <w:t>对备案过程及其时效性进行实时监控，接受省政务服务管理部门及社会公众的监督</w:t>
            </w:r>
          </w:p>
        </w:tc>
        <w:tc>
          <w:tcPr>
            <w:tcW w:w="1167" w:type="dxa"/>
            <w:vMerge w:val="continue"/>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85" w:type="dxa"/>
            <w:vMerge w:val="restart"/>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180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对未依法开展地震台网建设和监测的责令限期改正</w:t>
            </w:r>
          </w:p>
        </w:tc>
        <w:tc>
          <w:tcPr>
            <w:tcW w:w="1125" w:type="dxa"/>
            <w:vMerge w:val="restart"/>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2</w:t>
            </w:r>
          </w:p>
        </w:tc>
        <w:tc>
          <w:tcPr>
            <w:tcW w:w="346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对未依法开展地震台网建设和监测的单位监督检查工作不力</w:t>
            </w:r>
          </w:p>
        </w:tc>
        <w:tc>
          <w:tcPr>
            <w:tcW w:w="810"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、加强监督检查，加强与县</w:t>
            </w:r>
            <w:r>
              <w:rPr>
                <w:rFonts w:hint="eastAsia" w:ascii="宋体" w:hAnsi="宋体" w:eastAsia="宋体" w:cs="宋体"/>
                <w:kern w:val="0"/>
                <w:sz w:val="24"/>
                <w:szCs w:val="24"/>
                <w:lang w:eastAsia="zh-CN"/>
              </w:rPr>
              <w:t>区</w:t>
            </w:r>
            <w:r>
              <w:rPr>
                <w:rFonts w:hint="eastAsia" w:ascii="宋体" w:hAnsi="宋体" w:eastAsia="宋体" w:cs="宋体"/>
                <w:kern w:val="0"/>
                <w:sz w:val="24"/>
                <w:szCs w:val="24"/>
              </w:rPr>
              <w:t>地震部门联系，监视掌握基层情况</w:t>
            </w:r>
          </w:p>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、对未依法开展地震台网建设和监测的，坚决予以责任追究，不受外界干扰</w:t>
            </w:r>
          </w:p>
        </w:tc>
        <w:tc>
          <w:tcPr>
            <w:tcW w:w="1167"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监测预报与</w:t>
            </w:r>
            <w:r>
              <w:rPr>
                <w:rFonts w:hint="eastAsia" w:ascii="宋体" w:hAnsi="宋体" w:eastAsia="宋体" w:cs="宋体"/>
                <w:kern w:val="0"/>
                <w:sz w:val="24"/>
                <w:szCs w:val="24"/>
                <w:lang w:eastAsia="zh-CN"/>
              </w:rPr>
              <w:t>应急科</w:t>
            </w:r>
            <w:r>
              <w:rPr>
                <w:rFonts w:hint="eastAsia" w:ascii="宋体" w:hAnsi="宋体" w:eastAsia="宋体" w:cs="宋体"/>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0" w:type="auto"/>
            <w:vMerge w:val="continue"/>
            <w:vAlign w:val="center"/>
          </w:tcPr>
          <w:p>
            <w:pPr>
              <w:widowControl/>
              <w:jc w:val="left"/>
              <w:rPr>
                <w:rFonts w:ascii="宋体" w:hAnsi="宋体" w:eastAsia="宋体" w:cs="宋体"/>
                <w:kern w:val="0"/>
                <w:sz w:val="24"/>
                <w:szCs w:val="24"/>
              </w:rPr>
            </w:pPr>
          </w:p>
        </w:tc>
        <w:tc>
          <w:tcPr>
            <w:tcW w:w="1807" w:type="dxa"/>
            <w:vMerge w:val="continue"/>
            <w:vAlign w:val="center"/>
          </w:tcPr>
          <w:p>
            <w:pPr>
              <w:widowControl/>
              <w:jc w:val="left"/>
              <w:rPr>
                <w:rFonts w:ascii="宋体" w:hAnsi="宋体" w:eastAsia="宋体" w:cs="宋体"/>
                <w:kern w:val="0"/>
                <w:sz w:val="24"/>
                <w:szCs w:val="24"/>
              </w:rPr>
            </w:pPr>
          </w:p>
        </w:tc>
        <w:tc>
          <w:tcPr>
            <w:tcW w:w="1125" w:type="dxa"/>
            <w:vMerge w:val="continue"/>
            <w:vAlign w:val="center"/>
          </w:tcPr>
          <w:p>
            <w:pPr>
              <w:widowControl/>
              <w:jc w:val="left"/>
              <w:rPr>
                <w:rFonts w:ascii="宋体" w:hAnsi="宋体" w:eastAsia="宋体" w:cs="宋体"/>
                <w:kern w:val="0"/>
                <w:sz w:val="24"/>
                <w:szCs w:val="24"/>
              </w:rPr>
            </w:pPr>
          </w:p>
        </w:tc>
        <w:tc>
          <w:tcPr>
            <w:tcW w:w="346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对未依法开展地震台网建设和监测的单位监督检查工作不力</w:t>
            </w:r>
          </w:p>
        </w:tc>
        <w:tc>
          <w:tcPr>
            <w:tcW w:w="810"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低</w:t>
            </w:r>
          </w:p>
        </w:tc>
        <w:tc>
          <w:tcPr>
            <w:tcW w:w="5215" w:type="dxa"/>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、加强监督检查，加强与县</w:t>
            </w:r>
            <w:r>
              <w:rPr>
                <w:rFonts w:hint="eastAsia" w:ascii="宋体" w:hAnsi="宋体" w:eastAsia="宋体" w:cs="宋体"/>
                <w:kern w:val="0"/>
                <w:sz w:val="24"/>
                <w:szCs w:val="24"/>
                <w:lang w:eastAsia="zh-CN"/>
              </w:rPr>
              <w:t>区</w:t>
            </w:r>
            <w:r>
              <w:rPr>
                <w:rFonts w:hint="eastAsia" w:ascii="宋体" w:hAnsi="宋体" w:eastAsia="宋体" w:cs="宋体"/>
                <w:kern w:val="0"/>
                <w:sz w:val="24"/>
                <w:szCs w:val="24"/>
              </w:rPr>
              <w:t>地震部门联系，监视掌握基层情况</w:t>
            </w:r>
          </w:p>
          <w:p>
            <w:pPr>
              <w:widowControl/>
              <w:spacing w:line="240" w:lineRule="atLeast"/>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、对未依法开展地震台网建设和监测的，坚决予以责任追究，不受外界干扰</w:t>
            </w:r>
          </w:p>
        </w:tc>
        <w:tc>
          <w:tcPr>
            <w:tcW w:w="1167" w:type="dxa"/>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监测预报与</w:t>
            </w:r>
            <w:r>
              <w:rPr>
                <w:rFonts w:hint="eastAsia" w:ascii="宋体" w:hAnsi="宋体" w:eastAsia="宋体" w:cs="宋体"/>
                <w:kern w:val="0"/>
                <w:sz w:val="24"/>
                <w:szCs w:val="24"/>
                <w:lang w:eastAsia="zh-CN"/>
              </w:rPr>
              <w:t>应急科</w:t>
            </w:r>
            <w:r>
              <w:rPr>
                <w:rFonts w:hint="eastAsia" w:ascii="宋体" w:hAnsi="宋体" w:eastAsia="宋体" w:cs="宋体"/>
                <w:kern w:val="0"/>
                <w:sz w:val="24"/>
                <w:szCs w:val="24"/>
              </w:rPr>
              <w:t>负责人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50"/>
    <w:rsid w:val="00001175"/>
    <w:rsid w:val="000079BB"/>
    <w:rsid w:val="000108F9"/>
    <w:rsid w:val="00021DC1"/>
    <w:rsid w:val="0003636D"/>
    <w:rsid w:val="000D2C9C"/>
    <w:rsid w:val="00163906"/>
    <w:rsid w:val="001C14D7"/>
    <w:rsid w:val="001F2C4F"/>
    <w:rsid w:val="00212167"/>
    <w:rsid w:val="00241D17"/>
    <w:rsid w:val="00296BC9"/>
    <w:rsid w:val="002E0755"/>
    <w:rsid w:val="003269B3"/>
    <w:rsid w:val="003E5650"/>
    <w:rsid w:val="003F1AAE"/>
    <w:rsid w:val="00400D40"/>
    <w:rsid w:val="00463121"/>
    <w:rsid w:val="00480A29"/>
    <w:rsid w:val="00603B74"/>
    <w:rsid w:val="0063599F"/>
    <w:rsid w:val="006730F5"/>
    <w:rsid w:val="00675590"/>
    <w:rsid w:val="00684FD3"/>
    <w:rsid w:val="006E67E5"/>
    <w:rsid w:val="007473A6"/>
    <w:rsid w:val="00835B0A"/>
    <w:rsid w:val="008A3DEA"/>
    <w:rsid w:val="008E2A25"/>
    <w:rsid w:val="00977533"/>
    <w:rsid w:val="009D01E3"/>
    <w:rsid w:val="00A97DFB"/>
    <w:rsid w:val="00AA1F45"/>
    <w:rsid w:val="00B46762"/>
    <w:rsid w:val="00C30BCC"/>
    <w:rsid w:val="00C94525"/>
    <w:rsid w:val="00C94700"/>
    <w:rsid w:val="00CB33A6"/>
    <w:rsid w:val="00CF451E"/>
    <w:rsid w:val="00CF4AC0"/>
    <w:rsid w:val="00D46C2B"/>
    <w:rsid w:val="00D668AF"/>
    <w:rsid w:val="00DD7401"/>
    <w:rsid w:val="00F23341"/>
    <w:rsid w:val="00F31C50"/>
    <w:rsid w:val="00F5118A"/>
    <w:rsid w:val="00FC38E5"/>
    <w:rsid w:val="06EF2AEB"/>
    <w:rsid w:val="2FEF5FE4"/>
    <w:rsid w:val="5FB6F67A"/>
    <w:rsid w:val="EDDD8818"/>
    <w:rsid w:val="FFB7B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converted-space"/>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354</Words>
  <Characters>2024</Characters>
  <Lines>16</Lines>
  <Paragraphs>4</Paragraphs>
  <TotalTime>2</TotalTime>
  <ScaleCrop>false</ScaleCrop>
  <LinksUpToDate>false</LinksUpToDate>
  <CharactersWithSpaces>2374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2022-09-28T02:06:00Z</dcterms:created>
  <dc:creator>刘爱东</dc:creator>
  <cp:lastModifiedBy>administrator</cp:lastModifiedBy>
  <dcterms:modified xsi:type="dcterms:W3CDTF">2023-12-14T09:45:23Z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